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78" w:rsidRPr="00C82A8F" w:rsidRDefault="002A1A78" w:rsidP="002A1A78">
      <w:pPr>
        <w:keepNext/>
        <w:keepLines/>
        <w:spacing w:before="200" w:after="0"/>
        <w:outlineLvl w:val="1"/>
        <w:rPr>
          <w:rFonts w:eastAsia="MS Gothic" w:cs="Arial"/>
          <w:b/>
          <w:color w:val="0072DA"/>
          <w:sz w:val="24"/>
        </w:rPr>
      </w:pPr>
      <w:r w:rsidRPr="00C82A8F">
        <w:rPr>
          <w:rFonts w:eastAsia="MS Gothic" w:cs="Arial"/>
          <w:b/>
          <w:color w:val="0072DA"/>
          <w:sz w:val="24"/>
        </w:rPr>
        <w:t>Course Number and Name</w:t>
      </w:r>
    </w:p>
    <w:p w:rsidR="002A1A78" w:rsidRPr="00C82A8F" w:rsidRDefault="002A1A78" w:rsidP="002A1A78">
      <w:pPr>
        <w:spacing w:after="0" w:line="240" w:lineRule="auto"/>
      </w:pPr>
      <w:r>
        <w:t>ISOL 533</w:t>
      </w:r>
      <w:r w:rsidRPr="00C82A8F">
        <w:t>—</w:t>
      </w:r>
      <w:r>
        <w:t>Information Security and Risk Management</w:t>
      </w:r>
    </w:p>
    <w:p w:rsidR="002A1A78" w:rsidRPr="00C82A8F" w:rsidRDefault="002A1A78" w:rsidP="002A1A78">
      <w:pPr>
        <w:keepNext/>
        <w:keepLines/>
        <w:spacing w:before="200" w:after="0"/>
        <w:outlineLvl w:val="1"/>
        <w:rPr>
          <w:rFonts w:eastAsia="MS Gothic" w:cs="Arial"/>
          <w:b/>
          <w:color w:val="0072DA"/>
          <w:sz w:val="24"/>
        </w:rPr>
      </w:pPr>
      <w:r w:rsidRPr="00C82A8F">
        <w:rPr>
          <w:rFonts w:eastAsia="MS Gothic" w:cs="Arial"/>
          <w:b/>
          <w:color w:val="0072DA"/>
          <w:sz w:val="24"/>
        </w:rPr>
        <w:t>Course Term and Delivery</w:t>
      </w:r>
    </w:p>
    <w:p w:rsidR="002A1A78" w:rsidRPr="00C82A8F" w:rsidRDefault="0078292A" w:rsidP="002A1A78">
      <w:pPr>
        <w:spacing w:after="0" w:line="240" w:lineRule="auto"/>
      </w:pPr>
      <w:r>
        <w:t>2018 Spring</w:t>
      </w:r>
      <w:r w:rsidR="00666D28">
        <w:t xml:space="preserve"> – IG </w:t>
      </w:r>
    </w:p>
    <w:p w:rsidR="002A1A78" w:rsidRPr="00C82A8F" w:rsidRDefault="00666D28" w:rsidP="002A1A78">
      <w:pPr>
        <w:spacing w:after="0" w:line="240" w:lineRule="auto"/>
      </w:pPr>
      <w:r>
        <w:t>Asynchronous Online</w:t>
      </w:r>
      <w:r w:rsidR="002A1A78" w:rsidRPr="00C82A8F">
        <w:t xml:space="preserve"> Course</w:t>
      </w:r>
    </w:p>
    <w:p w:rsidR="002A1A78" w:rsidRPr="00C82A8F" w:rsidRDefault="002A1A78" w:rsidP="002A1A78">
      <w:pPr>
        <w:keepNext/>
        <w:keepLines/>
        <w:spacing w:before="200" w:after="0"/>
        <w:outlineLvl w:val="1"/>
        <w:rPr>
          <w:rFonts w:eastAsia="MS Gothic" w:cs="Arial"/>
          <w:b/>
          <w:color w:val="0072DA"/>
          <w:sz w:val="24"/>
        </w:rPr>
      </w:pPr>
      <w:r w:rsidRPr="00C82A8F">
        <w:rPr>
          <w:rFonts w:eastAsia="MS Gothic" w:cs="Arial"/>
          <w:b/>
          <w:color w:val="0072DA"/>
          <w:sz w:val="24"/>
        </w:rPr>
        <w:t>Course Instructor</w:t>
      </w:r>
    </w:p>
    <w:p w:rsidR="002A1A78" w:rsidRPr="00C82A8F" w:rsidRDefault="007213AE" w:rsidP="002A1A78">
      <w:pPr>
        <w:autoSpaceDE w:val="0"/>
        <w:autoSpaceDN w:val="0"/>
        <w:adjustRightInd w:val="0"/>
        <w:spacing w:after="0" w:line="240" w:lineRule="auto"/>
        <w:rPr>
          <w:rFonts w:cs="Arial"/>
          <w:szCs w:val="20"/>
        </w:rPr>
      </w:pPr>
      <w:r>
        <w:rPr>
          <w:rFonts w:cs="Arial"/>
          <w:szCs w:val="20"/>
        </w:rPr>
        <w:t>Dr. Jamia S. Mills</w:t>
      </w:r>
    </w:p>
    <w:p w:rsidR="002A1A78" w:rsidRDefault="006F1BE8" w:rsidP="002A1A78">
      <w:pPr>
        <w:autoSpaceDE w:val="0"/>
        <w:autoSpaceDN w:val="0"/>
        <w:adjustRightInd w:val="0"/>
        <w:spacing w:after="0" w:line="240" w:lineRule="auto"/>
        <w:rPr>
          <w:rFonts w:cs="Arial"/>
          <w:szCs w:val="20"/>
        </w:rPr>
      </w:pPr>
      <w:r>
        <w:rPr>
          <w:rFonts w:cs="Arial"/>
          <w:szCs w:val="20"/>
        </w:rPr>
        <w:t xml:space="preserve">Email: </w:t>
      </w:r>
      <w:hyperlink r:id="rId8" w:history="1">
        <w:r w:rsidR="0078292A" w:rsidRPr="00907AF7">
          <w:rPr>
            <w:rStyle w:val="Hyperlink"/>
            <w:rFonts w:cs="Arial"/>
            <w:szCs w:val="20"/>
          </w:rPr>
          <w:t>Jamia.Mills@ucumberlands.edu</w:t>
        </w:r>
      </w:hyperlink>
      <w:r>
        <w:rPr>
          <w:rFonts w:cs="Arial"/>
          <w:szCs w:val="20"/>
        </w:rPr>
        <w:br/>
        <w:t xml:space="preserve">Office Hours: By Appointment </w:t>
      </w:r>
    </w:p>
    <w:p w:rsidR="002A1A78" w:rsidRDefault="002A1A78" w:rsidP="00C331A6">
      <w:pPr>
        <w:pStyle w:val="Heading1"/>
        <w:pBdr>
          <w:bottom w:val="none" w:sz="0" w:space="0" w:color="auto"/>
        </w:pBdr>
        <w:spacing w:before="0"/>
      </w:pPr>
    </w:p>
    <w:p w:rsidR="00930200" w:rsidRPr="00C331A6" w:rsidRDefault="00930200" w:rsidP="00C331A6">
      <w:pPr>
        <w:pStyle w:val="Heading1"/>
        <w:pBdr>
          <w:bottom w:val="none" w:sz="0" w:space="0" w:color="auto"/>
        </w:pBdr>
        <w:spacing w:before="0"/>
        <w:rPr>
          <w:b w:val="0"/>
          <w:bCs w:val="0"/>
          <w:color w:val="auto"/>
          <w:sz w:val="24"/>
          <w:szCs w:val="24"/>
        </w:rPr>
      </w:pPr>
      <w:r w:rsidRPr="00930200">
        <w:t>Course Summary</w:t>
      </w:r>
    </w:p>
    <w:p w:rsidR="00930200" w:rsidRPr="00930200" w:rsidRDefault="00930200" w:rsidP="00930200">
      <w:pPr>
        <w:pStyle w:val="Heading2"/>
      </w:pPr>
      <w:r w:rsidRPr="00930200">
        <w:t>Course Description</w:t>
      </w:r>
    </w:p>
    <w:p w:rsidR="008852E0" w:rsidRPr="00E22AC0" w:rsidRDefault="008852E0" w:rsidP="00930200">
      <w:pPr>
        <w:rPr>
          <w:rFonts w:cs="Arial"/>
          <w:szCs w:val="20"/>
        </w:rPr>
      </w:pPr>
      <w:r w:rsidRPr="00E22AC0">
        <w:rPr>
          <w:rFonts w:cs="Arial"/>
          <w:szCs w:val="20"/>
        </w:rPr>
        <w:t>This course addresses the broad topic of risk management and how risk, threats, and vulnerabilities impact information systems. Areas of instruction include how to assess and manage risk based on defining an acceptable level of ri</w:t>
      </w:r>
      <w:r w:rsidR="006C1889">
        <w:rPr>
          <w:rFonts w:cs="Arial"/>
          <w:szCs w:val="20"/>
        </w:rPr>
        <w:t xml:space="preserve">sk for information systems. </w:t>
      </w:r>
      <w:r w:rsidRPr="00E22AC0">
        <w:rPr>
          <w:rFonts w:cs="Arial"/>
          <w:szCs w:val="20"/>
        </w:rPr>
        <w:t>Elements of a business impact analysis, business continuity plan, and disaster recovery plan will also be discussed.</w:t>
      </w:r>
    </w:p>
    <w:p w:rsidR="008852E0" w:rsidRPr="00F8776C" w:rsidRDefault="008852E0" w:rsidP="00930200">
      <w:pPr>
        <w:pStyle w:val="Heading2"/>
      </w:pPr>
      <w:r w:rsidRPr="00E22AC0">
        <w:t>Major Instructional Areas</w:t>
      </w:r>
    </w:p>
    <w:p w:rsidR="008852E0" w:rsidRDefault="008852E0" w:rsidP="0034516F">
      <w:pPr>
        <w:numPr>
          <w:ilvl w:val="0"/>
          <w:numId w:val="4"/>
        </w:numPr>
        <w:autoSpaceDE w:val="0"/>
        <w:autoSpaceDN w:val="0"/>
        <w:adjustRightInd w:val="0"/>
        <w:spacing w:after="0"/>
        <w:rPr>
          <w:rFonts w:cs="Arial"/>
          <w:szCs w:val="20"/>
        </w:rPr>
      </w:pPr>
      <w:r w:rsidRPr="00F8776C">
        <w:rPr>
          <w:rFonts w:cs="Arial"/>
          <w:szCs w:val="20"/>
        </w:rPr>
        <w:t>Risk management basics</w:t>
      </w:r>
    </w:p>
    <w:p w:rsidR="008852E0" w:rsidRDefault="008852E0" w:rsidP="0034516F">
      <w:pPr>
        <w:numPr>
          <w:ilvl w:val="0"/>
          <w:numId w:val="4"/>
        </w:numPr>
        <w:autoSpaceDE w:val="0"/>
        <w:autoSpaceDN w:val="0"/>
        <w:adjustRightInd w:val="0"/>
        <w:spacing w:after="0"/>
        <w:rPr>
          <w:rFonts w:cs="Arial"/>
          <w:szCs w:val="20"/>
        </w:rPr>
      </w:pPr>
      <w:r>
        <w:rPr>
          <w:rFonts w:cs="Arial"/>
          <w:szCs w:val="20"/>
        </w:rPr>
        <w:t>R</w:t>
      </w:r>
      <w:r w:rsidRPr="00F8776C">
        <w:rPr>
          <w:rFonts w:cs="Arial"/>
          <w:szCs w:val="20"/>
        </w:rPr>
        <w:t>isk assessment plan</w:t>
      </w:r>
    </w:p>
    <w:p w:rsidR="008852E0" w:rsidRDefault="008852E0" w:rsidP="0034516F">
      <w:pPr>
        <w:numPr>
          <w:ilvl w:val="0"/>
          <w:numId w:val="4"/>
        </w:numPr>
        <w:autoSpaceDE w:val="0"/>
        <w:autoSpaceDN w:val="0"/>
        <w:adjustRightInd w:val="0"/>
        <w:spacing w:after="0"/>
        <w:rPr>
          <w:rFonts w:cs="Arial"/>
          <w:szCs w:val="20"/>
        </w:rPr>
      </w:pPr>
      <w:r>
        <w:rPr>
          <w:rFonts w:cs="Arial"/>
          <w:szCs w:val="20"/>
        </w:rPr>
        <w:t>R</w:t>
      </w:r>
      <w:r w:rsidRPr="00F8776C">
        <w:rPr>
          <w:rFonts w:cs="Arial"/>
          <w:szCs w:val="20"/>
        </w:rPr>
        <w:t>isk mitigation plan</w:t>
      </w:r>
    </w:p>
    <w:p w:rsidR="008852E0" w:rsidRDefault="008852E0" w:rsidP="0034516F">
      <w:pPr>
        <w:numPr>
          <w:ilvl w:val="0"/>
          <w:numId w:val="4"/>
        </w:numPr>
        <w:autoSpaceDE w:val="0"/>
        <w:autoSpaceDN w:val="0"/>
        <w:adjustRightInd w:val="0"/>
        <w:spacing w:after="0"/>
        <w:rPr>
          <w:rFonts w:cs="Arial"/>
          <w:szCs w:val="20"/>
        </w:rPr>
      </w:pPr>
      <w:r w:rsidRPr="00F8776C">
        <w:rPr>
          <w:rFonts w:cs="Arial"/>
          <w:szCs w:val="20"/>
        </w:rPr>
        <w:t>Cost</w:t>
      </w:r>
      <w:r w:rsidR="00567791">
        <w:rPr>
          <w:rFonts w:cs="Arial"/>
          <w:szCs w:val="20"/>
        </w:rPr>
        <w:t>-</w:t>
      </w:r>
      <w:r w:rsidRPr="00F8776C">
        <w:rPr>
          <w:rFonts w:cs="Arial"/>
          <w:szCs w:val="20"/>
        </w:rPr>
        <w:t xml:space="preserve">benefit analysis </w:t>
      </w:r>
    </w:p>
    <w:p w:rsidR="008852E0" w:rsidRDefault="008852E0" w:rsidP="0034516F">
      <w:pPr>
        <w:numPr>
          <w:ilvl w:val="0"/>
          <w:numId w:val="4"/>
        </w:numPr>
        <w:autoSpaceDE w:val="0"/>
        <w:autoSpaceDN w:val="0"/>
        <w:adjustRightInd w:val="0"/>
        <w:spacing w:after="0"/>
        <w:rPr>
          <w:rFonts w:cs="Arial"/>
          <w:szCs w:val="20"/>
        </w:rPr>
      </w:pPr>
      <w:r>
        <w:rPr>
          <w:rFonts w:cs="Arial"/>
          <w:szCs w:val="20"/>
        </w:rPr>
        <w:t>B</w:t>
      </w:r>
      <w:r w:rsidRPr="00F8776C">
        <w:rPr>
          <w:rFonts w:cs="Arial"/>
          <w:szCs w:val="20"/>
        </w:rPr>
        <w:t>usiness continuity plan</w:t>
      </w:r>
    </w:p>
    <w:p w:rsidR="008852E0" w:rsidRPr="00F8776C" w:rsidRDefault="008852E0" w:rsidP="008852E0">
      <w:pPr>
        <w:numPr>
          <w:ilvl w:val="0"/>
          <w:numId w:val="4"/>
        </w:numPr>
        <w:autoSpaceDE w:val="0"/>
        <w:autoSpaceDN w:val="0"/>
        <w:adjustRightInd w:val="0"/>
        <w:rPr>
          <w:rFonts w:cs="Arial"/>
          <w:szCs w:val="20"/>
        </w:rPr>
      </w:pPr>
      <w:r>
        <w:rPr>
          <w:rFonts w:cs="Arial"/>
          <w:szCs w:val="20"/>
        </w:rPr>
        <w:t>D</w:t>
      </w:r>
      <w:r w:rsidRPr="00F8776C">
        <w:rPr>
          <w:rFonts w:cs="Arial"/>
          <w:szCs w:val="20"/>
        </w:rPr>
        <w:t>isaster recovery plan</w:t>
      </w:r>
    </w:p>
    <w:p w:rsidR="008852E0" w:rsidRPr="00F8776C" w:rsidRDefault="008852E0" w:rsidP="00930200">
      <w:pPr>
        <w:pStyle w:val="Heading2"/>
      </w:pPr>
      <w:r w:rsidRPr="00E22AC0">
        <w:t>Course Objectives</w:t>
      </w:r>
    </w:p>
    <w:p w:rsidR="008852E0" w:rsidRDefault="008852E0" w:rsidP="0034516F">
      <w:pPr>
        <w:pStyle w:val="Style1"/>
        <w:numPr>
          <w:ilvl w:val="3"/>
          <w:numId w:val="4"/>
        </w:numPr>
        <w:spacing w:before="0" w:after="0"/>
        <w:rPr>
          <w:rFonts w:cs="Arial"/>
          <w:sz w:val="20"/>
        </w:rPr>
      </w:pPr>
      <w:r w:rsidRPr="003119E2">
        <w:rPr>
          <w:rFonts w:cs="Arial"/>
          <w:sz w:val="20"/>
        </w:rPr>
        <w:t>Explain the basic concepts of and need for risk management.</w:t>
      </w:r>
    </w:p>
    <w:p w:rsidR="00232AFD" w:rsidRDefault="00232AFD" w:rsidP="0034516F">
      <w:pPr>
        <w:pStyle w:val="Style1"/>
        <w:numPr>
          <w:ilvl w:val="3"/>
          <w:numId w:val="4"/>
        </w:numPr>
        <w:spacing w:before="0" w:after="0"/>
        <w:rPr>
          <w:rFonts w:cs="Arial"/>
          <w:sz w:val="20"/>
        </w:rPr>
      </w:pPr>
      <w:r w:rsidRPr="00232AFD">
        <w:rPr>
          <w:rFonts w:cs="Arial"/>
          <w:sz w:val="20"/>
        </w:rPr>
        <w:t>Explain methods of mitigating risk by managing threats vulnerabilities, and exploits</w:t>
      </w:r>
      <w:r>
        <w:rPr>
          <w:rFonts w:cs="Arial"/>
          <w:sz w:val="20"/>
        </w:rPr>
        <w:t>.</w:t>
      </w:r>
    </w:p>
    <w:p w:rsidR="008852E0" w:rsidRDefault="008852E0" w:rsidP="0034516F">
      <w:pPr>
        <w:pStyle w:val="Style1"/>
        <w:numPr>
          <w:ilvl w:val="3"/>
          <w:numId w:val="4"/>
        </w:numPr>
        <w:spacing w:before="0" w:after="0"/>
        <w:rPr>
          <w:rFonts w:cs="Arial"/>
          <w:sz w:val="20"/>
        </w:rPr>
      </w:pPr>
      <w:r w:rsidRPr="002E1223">
        <w:rPr>
          <w:rFonts w:cs="Arial"/>
          <w:sz w:val="20"/>
        </w:rPr>
        <w:t>Identify compliancy laws, standards, best practices, and policies of risk management.</w:t>
      </w:r>
    </w:p>
    <w:p w:rsidR="008852E0" w:rsidRDefault="008852E0" w:rsidP="0034516F">
      <w:pPr>
        <w:pStyle w:val="Style1"/>
        <w:numPr>
          <w:ilvl w:val="3"/>
          <w:numId w:val="4"/>
        </w:numPr>
        <w:spacing w:before="0" w:after="0"/>
        <w:rPr>
          <w:rFonts w:cs="Arial"/>
          <w:sz w:val="20"/>
        </w:rPr>
      </w:pPr>
      <w:r w:rsidRPr="002E1223">
        <w:rPr>
          <w:rFonts w:cs="Arial"/>
          <w:sz w:val="20"/>
        </w:rPr>
        <w:t>Describe the components of an effective organizational risk management program.</w:t>
      </w:r>
    </w:p>
    <w:p w:rsidR="008852E0" w:rsidRDefault="008852E0" w:rsidP="0034516F">
      <w:pPr>
        <w:pStyle w:val="Style1"/>
        <w:numPr>
          <w:ilvl w:val="3"/>
          <w:numId w:val="4"/>
        </w:numPr>
        <w:spacing w:before="0" w:after="0"/>
        <w:rPr>
          <w:rFonts w:cs="Arial"/>
          <w:sz w:val="20"/>
        </w:rPr>
      </w:pPr>
      <w:r w:rsidRPr="002E1223">
        <w:rPr>
          <w:rFonts w:cs="Arial"/>
          <w:sz w:val="20"/>
        </w:rPr>
        <w:t xml:space="preserve">Describe techniques for identifying </w:t>
      </w:r>
      <w:r w:rsidR="00232AFD">
        <w:rPr>
          <w:rFonts w:cs="Arial"/>
          <w:sz w:val="20"/>
        </w:rPr>
        <w:t xml:space="preserve">and analyzing </w:t>
      </w:r>
      <w:r w:rsidRPr="002E1223">
        <w:rPr>
          <w:rFonts w:cs="Arial"/>
          <w:sz w:val="20"/>
        </w:rPr>
        <w:t>relevant threats, vulnerabilities</w:t>
      </w:r>
      <w:r>
        <w:rPr>
          <w:rFonts w:cs="Arial"/>
          <w:sz w:val="20"/>
        </w:rPr>
        <w:t>,</w:t>
      </w:r>
      <w:r w:rsidRPr="002E1223">
        <w:rPr>
          <w:rFonts w:cs="Arial"/>
          <w:sz w:val="20"/>
        </w:rPr>
        <w:t xml:space="preserve"> and exploits.</w:t>
      </w:r>
    </w:p>
    <w:p w:rsidR="00232AFD" w:rsidRDefault="00232AFD" w:rsidP="0034516F">
      <w:pPr>
        <w:pStyle w:val="Style1"/>
        <w:numPr>
          <w:ilvl w:val="3"/>
          <w:numId w:val="4"/>
        </w:numPr>
        <w:spacing w:before="0" w:after="0"/>
        <w:rPr>
          <w:rFonts w:cs="Arial"/>
          <w:sz w:val="20"/>
        </w:rPr>
      </w:pPr>
      <w:r>
        <w:rPr>
          <w:rFonts w:cs="Arial"/>
          <w:sz w:val="20"/>
        </w:rPr>
        <w:t>Describe the process of performing risk assessments.</w:t>
      </w:r>
    </w:p>
    <w:p w:rsidR="00232AFD" w:rsidRDefault="00232AFD" w:rsidP="0034516F">
      <w:pPr>
        <w:pStyle w:val="Style1"/>
        <w:numPr>
          <w:ilvl w:val="3"/>
          <w:numId w:val="4"/>
        </w:numPr>
        <w:spacing w:before="0" w:after="0"/>
        <w:rPr>
          <w:rFonts w:cs="Arial"/>
          <w:sz w:val="20"/>
        </w:rPr>
      </w:pPr>
      <w:r w:rsidRPr="00232AFD">
        <w:rPr>
          <w:rFonts w:cs="Arial"/>
          <w:sz w:val="20"/>
        </w:rPr>
        <w:t>Identify assets and activities to protect within an organization</w:t>
      </w:r>
      <w:r>
        <w:rPr>
          <w:rFonts w:cs="Arial"/>
          <w:sz w:val="20"/>
        </w:rPr>
        <w:t>.</w:t>
      </w:r>
    </w:p>
    <w:p w:rsidR="00232AFD" w:rsidRDefault="00232AFD" w:rsidP="0034516F">
      <w:pPr>
        <w:pStyle w:val="Style1"/>
        <w:numPr>
          <w:ilvl w:val="3"/>
          <w:numId w:val="4"/>
        </w:numPr>
        <w:spacing w:before="0" w:after="0"/>
        <w:rPr>
          <w:rFonts w:cs="Arial"/>
          <w:sz w:val="20"/>
        </w:rPr>
      </w:pPr>
      <w:r w:rsidRPr="00232AFD">
        <w:rPr>
          <w:rFonts w:cs="Arial"/>
          <w:sz w:val="20"/>
        </w:rPr>
        <w:t>Identify threats, vulnerabilities, and exploits.</w:t>
      </w:r>
    </w:p>
    <w:p w:rsidR="008852E0" w:rsidRDefault="008852E0" w:rsidP="0034516F">
      <w:pPr>
        <w:pStyle w:val="Style1"/>
        <w:numPr>
          <w:ilvl w:val="3"/>
          <w:numId w:val="4"/>
        </w:numPr>
        <w:spacing w:before="0" w:after="0"/>
        <w:rPr>
          <w:rFonts w:cs="Arial"/>
          <w:sz w:val="20"/>
        </w:rPr>
      </w:pPr>
      <w:r w:rsidRPr="002E1223">
        <w:rPr>
          <w:rFonts w:cs="Arial"/>
          <w:sz w:val="20"/>
        </w:rPr>
        <w:t>Identify risk mitigation security controls</w:t>
      </w:r>
      <w:r>
        <w:rPr>
          <w:rFonts w:cs="Arial"/>
          <w:sz w:val="20"/>
        </w:rPr>
        <w:t>.</w:t>
      </w:r>
    </w:p>
    <w:p w:rsidR="00232AFD" w:rsidRDefault="00232AFD" w:rsidP="0034516F">
      <w:pPr>
        <w:pStyle w:val="Style1"/>
        <w:numPr>
          <w:ilvl w:val="3"/>
          <w:numId w:val="4"/>
        </w:numPr>
        <w:spacing w:before="0" w:after="0"/>
        <w:rPr>
          <w:rFonts w:cs="Arial"/>
          <w:sz w:val="20"/>
        </w:rPr>
      </w:pPr>
      <w:r w:rsidRPr="00232AFD">
        <w:rPr>
          <w:rFonts w:cs="Arial"/>
          <w:sz w:val="20"/>
        </w:rPr>
        <w:lastRenderedPageBreak/>
        <w:t>Describe concepts for planning risk mitigation throughout an organization.</w:t>
      </w:r>
    </w:p>
    <w:p w:rsidR="008852E0" w:rsidRDefault="008852E0" w:rsidP="0034516F">
      <w:pPr>
        <w:pStyle w:val="Style1"/>
        <w:numPr>
          <w:ilvl w:val="3"/>
          <w:numId w:val="4"/>
        </w:numPr>
        <w:spacing w:before="0" w:after="0"/>
        <w:rPr>
          <w:rFonts w:cs="Arial"/>
          <w:sz w:val="20"/>
        </w:rPr>
      </w:pPr>
      <w:r w:rsidRPr="002E1223">
        <w:rPr>
          <w:rFonts w:cs="Arial"/>
          <w:sz w:val="20"/>
        </w:rPr>
        <w:t xml:space="preserve">Describe concepts for implementing </w:t>
      </w:r>
      <w:r w:rsidR="00232AFD">
        <w:rPr>
          <w:rFonts w:cs="Arial"/>
          <w:sz w:val="20"/>
        </w:rPr>
        <w:t xml:space="preserve">a </w:t>
      </w:r>
      <w:r w:rsidRPr="002E1223">
        <w:rPr>
          <w:rFonts w:cs="Arial"/>
          <w:sz w:val="20"/>
        </w:rPr>
        <w:t xml:space="preserve">risk mitigation </w:t>
      </w:r>
      <w:r w:rsidR="00232AFD">
        <w:rPr>
          <w:rFonts w:cs="Arial"/>
          <w:sz w:val="20"/>
        </w:rPr>
        <w:t>plan</w:t>
      </w:r>
      <w:r w:rsidRPr="002E1223">
        <w:rPr>
          <w:rFonts w:cs="Arial"/>
          <w:sz w:val="20"/>
        </w:rPr>
        <w:t>.</w:t>
      </w:r>
    </w:p>
    <w:p w:rsidR="008852E0" w:rsidRDefault="008852E0" w:rsidP="0034516F">
      <w:pPr>
        <w:pStyle w:val="Style1"/>
        <w:numPr>
          <w:ilvl w:val="3"/>
          <w:numId w:val="4"/>
        </w:numPr>
        <w:spacing w:before="0" w:after="0"/>
        <w:rPr>
          <w:rFonts w:cs="Arial"/>
          <w:sz w:val="20"/>
        </w:rPr>
      </w:pPr>
      <w:r w:rsidRPr="002E1223">
        <w:rPr>
          <w:rFonts w:cs="Arial"/>
          <w:sz w:val="20"/>
        </w:rPr>
        <w:t>Perform a business impact analysis</w:t>
      </w:r>
      <w:r>
        <w:rPr>
          <w:rFonts w:cs="Arial"/>
          <w:sz w:val="20"/>
        </w:rPr>
        <w:t>.</w:t>
      </w:r>
    </w:p>
    <w:p w:rsidR="008852E0" w:rsidRDefault="008852E0" w:rsidP="0034516F">
      <w:pPr>
        <w:pStyle w:val="Style1"/>
        <w:numPr>
          <w:ilvl w:val="3"/>
          <w:numId w:val="4"/>
        </w:numPr>
        <w:spacing w:before="0" w:after="0"/>
        <w:rPr>
          <w:rFonts w:cs="Arial"/>
          <w:sz w:val="20"/>
        </w:rPr>
      </w:pPr>
      <w:r w:rsidRPr="002E1223">
        <w:rPr>
          <w:rFonts w:cs="Arial"/>
          <w:sz w:val="20"/>
        </w:rPr>
        <w:t xml:space="preserve">Create a business continuity plan (BCP) based on the findings of a given risk assessment for </w:t>
      </w:r>
      <w:r>
        <w:rPr>
          <w:rFonts w:cs="Arial"/>
          <w:sz w:val="20"/>
        </w:rPr>
        <w:t xml:space="preserve">an </w:t>
      </w:r>
      <w:r w:rsidRPr="002E1223">
        <w:rPr>
          <w:rFonts w:cs="Arial"/>
          <w:sz w:val="20"/>
        </w:rPr>
        <w:t>organization</w:t>
      </w:r>
      <w:r>
        <w:rPr>
          <w:rFonts w:cs="Arial"/>
          <w:sz w:val="20"/>
        </w:rPr>
        <w:t>.</w:t>
      </w:r>
    </w:p>
    <w:p w:rsidR="008852E0" w:rsidRDefault="008852E0" w:rsidP="0034516F">
      <w:pPr>
        <w:pStyle w:val="Style1"/>
        <w:numPr>
          <w:ilvl w:val="3"/>
          <w:numId w:val="4"/>
        </w:numPr>
        <w:spacing w:before="0" w:after="0"/>
        <w:rPr>
          <w:rFonts w:cs="Arial"/>
          <w:sz w:val="20"/>
        </w:rPr>
      </w:pPr>
      <w:r w:rsidRPr="002E1223">
        <w:rPr>
          <w:rFonts w:cs="Arial"/>
          <w:sz w:val="20"/>
        </w:rPr>
        <w:t>Create a disaster recovery plan (DRP) based on the findings of a given risk assessment for an organization.</w:t>
      </w:r>
    </w:p>
    <w:p w:rsidR="008852E0" w:rsidRDefault="008852E0" w:rsidP="008852E0">
      <w:pPr>
        <w:pStyle w:val="Style1"/>
        <w:numPr>
          <w:ilvl w:val="3"/>
          <w:numId w:val="4"/>
        </w:numPr>
        <w:spacing w:before="0"/>
        <w:rPr>
          <w:rFonts w:cs="Arial"/>
          <w:sz w:val="20"/>
        </w:rPr>
      </w:pPr>
      <w:r w:rsidRPr="002E1223">
        <w:rPr>
          <w:rFonts w:cs="Arial"/>
          <w:sz w:val="20"/>
        </w:rPr>
        <w:t xml:space="preserve">Create a </w:t>
      </w:r>
      <w:r w:rsidR="00232AFD">
        <w:rPr>
          <w:rFonts w:cs="Arial"/>
          <w:sz w:val="20"/>
        </w:rPr>
        <w:t>c</w:t>
      </w:r>
      <w:r w:rsidR="00232AFD" w:rsidRPr="002E1223">
        <w:rPr>
          <w:rFonts w:cs="Arial"/>
          <w:sz w:val="20"/>
        </w:rPr>
        <w:t xml:space="preserve">omputer </w:t>
      </w:r>
      <w:r w:rsidR="00232AFD">
        <w:rPr>
          <w:rFonts w:cs="Arial"/>
          <w:sz w:val="20"/>
        </w:rPr>
        <w:t>i</w:t>
      </w:r>
      <w:r w:rsidR="00232AFD" w:rsidRPr="002E1223">
        <w:rPr>
          <w:rFonts w:cs="Arial"/>
          <w:sz w:val="20"/>
        </w:rPr>
        <w:t xml:space="preserve">ncident </w:t>
      </w:r>
      <w:r w:rsidR="00232AFD">
        <w:rPr>
          <w:rFonts w:cs="Arial"/>
          <w:sz w:val="20"/>
        </w:rPr>
        <w:t>r</w:t>
      </w:r>
      <w:r w:rsidR="00232AFD" w:rsidRPr="002E1223">
        <w:rPr>
          <w:rFonts w:cs="Arial"/>
          <w:sz w:val="20"/>
        </w:rPr>
        <w:t xml:space="preserve">esponse </w:t>
      </w:r>
      <w:r w:rsidR="00232AFD">
        <w:rPr>
          <w:rFonts w:cs="Arial"/>
          <w:sz w:val="20"/>
        </w:rPr>
        <w:t>t</w:t>
      </w:r>
      <w:r w:rsidR="00232AFD" w:rsidRPr="002E1223">
        <w:rPr>
          <w:rFonts w:cs="Arial"/>
          <w:sz w:val="20"/>
        </w:rPr>
        <w:t xml:space="preserve">eam </w:t>
      </w:r>
      <w:r w:rsidRPr="002E1223">
        <w:rPr>
          <w:rFonts w:cs="Arial"/>
          <w:sz w:val="20"/>
        </w:rPr>
        <w:t>(CIRT) plan for an organization.</w:t>
      </w:r>
    </w:p>
    <w:p w:rsidR="00D15DCF" w:rsidRDefault="00D15DCF" w:rsidP="0042578E">
      <w:pPr>
        <w:pBdr>
          <w:bottom w:val="single" w:sz="12" w:space="1" w:color="auto"/>
        </w:pBdr>
        <w:outlineLvl w:val="0"/>
        <w:rPr>
          <w:rStyle w:val="Heading1Char1"/>
        </w:rPr>
      </w:pPr>
    </w:p>
    <w:p w:rsidR="00B1521F" w:rsidRPr="00930200" w:rsidRDefault="00B1521F" w:rsidP="0042578E">
      <w:pPr>
        <w:pBdr>
          <w:bottom w:val="single" w:sz="12" w:space="1" w:color="auto"/>
        </w:pBdr>
        <w:outlineLvl w:val="0"/>
        <w:rPr>
          <w:rStyle w:val="Heading1Char1"/>
        </w:rPr>
      </w:pPr>
      <w:r w:rsidRPr="00930200">
        <w:rPr>
          <w:rStyle w:val="Heading1Char1"/>
        </w:rPr>
        <w:t>Learning Materials and References</w:t>
      </w:r>
    </w:p>
    <w:p w:rsidR="008852E0" w:rsidRPr="00930200" w:rsidRDefault="00930200" w:rsidP="00930200">
      <w:pPr>
        <w:pStyle w:val="Heading2"/>
      </w:pPr>
      <w:r w:rsidRPr="00930200">
        <w:t>Available</w:t>
      </w:r>
      <w:r w:rsidR="008852E0" w:rsidRPr="00930200">
        <w:t xml:space="preserve"> Resources</w:t>
      </w:r>
    </w:p>
    <w:p w:rsidR="00930200" w:rsidRPr="00025F36" w:rsidRDefault="00025F36" w:rsidP="00025F36">
      <w:pPr>
        <w:pStyle w:val="Footer"/>
        <w:numPr>
          <w:ilvl w:val="0"/>
          <w:numId w:val="37"/>
        </w:numPr>
        <w:tabs>
          <w:tab w:val="clear" w:pos="4320"/>
          <w:tab w:val="center" w:pos="720"/>
        </w:tabs>
        <w:spacing w:after="240" w:line="240" w:lineRule="auto"/>
      </w:pPr>
      <w:r w:rsidRPr="00025F36">
        <w:t xml:space="preserve">Gibson, Darril. </w:t>
      </w:r>
      <w:r w:rsidRPr="00025F36">
        <w:rPr>
          <w:i/>
        </w:rPr>
        <w:t>Managing Risk in Information Systems</w:t>
      </w:r>
      <w:r w:rsidR="00900AE7">
        <w:t>, 2nd edition.Burlington, MA: Jones &amp; Bartlett, 2015</w:t>
      </w:r>
    </w:p>
    <w:p w:rsidR="005B5822" w:rsidRPr="005B5822" w:rsidRDefault="00900AE7" w:rsidP="005B5822">
      <w:pPr>
        <w:numPr>
          <w:ilvl w:val="0"/>
          <w:numId w:val="37"/>
        </w:numPr>
        <w:spacing w:after="240"/>
        <w:rPr>
          <w:rFonts w:cs="Arial"/>
        </w:rPr>
      </w:pPr>
      <w:r>
        <w:rPr>
          <w:rFonts w:cs="Arial"/>
        </w:rPr>
        <w:t>S</w:t>
      </w:r>
      <w:r w:rsidR="005B5822" w:rsidRPr="005B5822">
        <w:rPr>
          <w:rFonts w:cs="Arial"/>
        </w:rPr>
        <w:t>tudent Lab Manual*</w:t>
      </w:r>
    </w:p>
    <w:p w:rsidR="005B5822" w:rsidRPr="00EE0A49" w:rsidRDefault="005B5822" w:rsidP="00C331A6">
      <w:pPr>
        <w:spacing w:after="360"/>
      </w:pPr>
      <w:r>
        <w:rPr>
          <w:szCs w:val="20"/>
        </w:rPr>
        <w:t>*This resource is available if your educational institution purchases the Jones &amp; Bartlett Learning lab manual</w:t>
      </w:r>
      <w:r w:rsidRPr="00EE0A49">
        <w:rPr>
          <w:szCs w:val="20"/>
        </w:rPr>
        <w:t xml:space="preserve"> along with the courseware.</w:t>
      </w:r>
    </w:p>
    <w:p w:rsidR="00930200" w:rsidRPr="00025F36" w:rsidRDefault="00930200" w:rsidP="00025F36">
      <w:pPr>
        <w:pStyle w:val="Heading2"/>
      </w:pPr>
      <w:r w:rsidRPr="00025F36">
        <w:t>Recommended Resources</w:t>
      </w:r>
    </w:p>
    <w:p w:rsidR="00930200" w:rsidRPr="00930200" w:rsidRDefault="00930200" w:rsidP="00930200">
      <w:pPr>
        <w:pBdr>
          <w:top w:val="single" w:sz="4" w:space="1" w:color="auto"/>
          <w:left w:val="single" w:sz="4" w:space="4" w:color="auto"/>
          <w:bottom w:val="single" w:sz="4" w:space="1" w:color="auto"/>
          <w:right w:val="single" w:sz="4" w:space="4" w:color="auto"/>
        </w:pBdr>
        <w:shd w:val="clear" w:color="auto" w:fill="DBE5F1"/>
        <w:spacing w:before="120" w:after="0"/>
        <w:rPr>
          <w:rFonts w:cs="Arial"/>
          <w:szCs w:val="22"/>
        </w:rPr>
      </w:pPr>
      <w:r w:rsidRPr="00930200">
        <w:rPr>
          <w:rFonts w:cs="Arial"/>
          <w:b/>
          <w:szCs w:val="22"/>
        </w:rPr>
        <w:t>Web References:</w:t>
      </w:r>
      <w:r w:rsidRPr="00930200">
        <w:rPr>
          <w:rFonts w:cs="Arial"/>
          <w:szCs w:val="22"/>
        </w:rPr>
        <w:t xml:space="preserve"> Links to Web references in this document and related materials are subject to</w:t>
      </w:r>
      <w:r w:rsidR="006F1BE8">
        <w:rPr>
          <w:rFonts w:cs="Arial"/>
          <w:szCs w:val="22"/>
        </w:rPr>
        <w:t xml:space="preserve"> change without prior notice. </w:t>
      </w:r>
    </w:p>
    <w:p w:rsidR="00567791" w:rsidRPr="00C937C8" w:rsidRDefault="00567791" w:rsidP="00567791">
      <w:pPr>
        <w:pStyle w:val="Heading3"/>
        <w:rPr>
          <w:b/>
        </w:rPr>
      </w:pPr>
      <w:r w:rsidRPr="00C937C8">
        <w:rPr>
          <w:b/>
        </w:rPr>
        <w:t>Books, Professional Journals</w:t>
      </w:r>
    </w:p>
    <w:p w:rsidR="00567791" w:rsidRPr="0094653E" w:rsidRDefault="00567791" w:rsidP="00567791">
      <w:r w:rsidRPr="0094653E">
        <w:t>Please use the following author</w:t>
      </w:r>
      <w:r>
        <w:t>’s names, book/article titles, W</w:t>
      </w:r>
      <w:r w:rsidRPr="0094653E">
        <w:t xml:space="preserve">ebsites, and/or keywords to search for supplementary information to augment your learning in this subject. </w:t>
      </w:r>
    </w:p>
    <w:p w:rsidR="00567791" w:rsidRPr="0014660D" w:rsidRDefault="00567791" w:rsidP="00567791">
      <w:pPr>
        <w:pStyle w:val="ISSAbullet"/>
      </w:pPr>
      <w:r w:rsidRPr="0014660D">
        <w:t xml:space="preserve">Judy Bell </w:t>
      </w:r>
    </w:p>
    <w:p w:rsidR="00567791" w:rsidRPr="00770242" w:rsidRDefault="00567791" w:rsidP="00567791">
      <w:pPr>
        <w:pStyle w:val="ListParagraph"/>
        <w:rPr>
          <w:rFonts w:ascii="Arial" w:hAnsi="Arial" w:cs="Arial"/>
          <w:i/>
          <w:sz w:val="20"/>
          <w:szCs w:val="20"/>
        </w:rPr>
      </w:pPr>
      <w:r w:rsidRPr="00770242">
        <w:rPr>
          <w:rFonts w:ascii="Arial" w:hAnsi="Arial" w:cs="Arial"/>
          <w:i/>
          <w:sz w:val="20"/>
          <w:szCs w:val="20"/>
        </w:rPr>
        <w:t xml:space="preserve">Disaster Survival Planning: A Practical Guide for Businesses </w:t>
      </w:r>
    </w:p>
    <w:p w:rsidR="00567791" w:rsidRDefault="00567791" w:rsidP="00567791">
      <w:pPr>
        <w:pStyle w:val="ISSAbullet"/>
        <w:spacing w:after="200"/>
      </w:pPr>
      <w:r>
        <w:t>Thomas S. Coleman</w:t>
      </w:r>
      <w:r>
        <w:br/>
      </w:r>
      <w:r w:rsidRPr="00DB5935">
        <w:rPr>
          <w:i/>
        </w:rPr>
        <w:t>A Practical Guide to Risk Management</w:t>
      </w:r>
    </w:p>
    <w:p w:rsidR="00567791" w:rsidRPr="0014660D" w:rsidRDefault="00567791" w:rsidP="00567791">
      <w:pPr>
        <w:pStyle w:val="ISSAbullet"/>
      </w:pPr>
      <w:r w:rsidRPr="0014660D">
        <w:t>Kenneth L. Fulmer</w:t>
      </w:r>
      <w:r>
        <w:t xml:space="preserve"> and </w:t>
      </w:r>
      <w:r w:rsidRPr="00770242">
        <w:t>Philip Jan Rothstein</w:t>
      </w:r>
    </w:p>
    <w:p w:rsidR="00567791" w:rsidRDefault="00567791" w:rsidP="00567791">
      <w:pPr>
        <w:pStyle w:val="ListParagraph"/>
        <w:rPr>
          <w:rFonts w:ascii="Arial" w:hAnsi="Arial" w:cs="Arial"/>
          <w:sz w:val="20"/>
          <w:szCs w:val="20"/>
        </w:rPr>
      </w:pPr>
      <w:r w:rsidRPr="00770242">
        <w:rPr>
          <w:rFonts w:ascii="Arial" w:hAnsi="Arial" w:cs="Arial"/>
          <w:i/>
          <w:sz w:val="20"/>
          <w:szCs w:val="20"/>
        </w:rPr>
        <w:t>Business Continuity Planning</w:t>
      </w:r>
      <w:r w:rsidRPr="0014660D">
        <w:rPr>
          <w:rFonts w:ascii="Arial" w:hAnsi="Arial" w:cs="Arial"/>
          <w:sz w:val="20"/>
          <w:szCs w:val="20"/>
        </w:rPr>
        <w:t>, A Step-by-Step Guide with Planning Forms on CD</w:t>
      </w:r>
      <w:r>
        <w:rPr>
          <w:rFonts w:ascii="Arial" w:hAnsi="Arial" w:cs="Arial"/>
          <w:sz w:val="20"/>
          <w:szCs w:val="20"/>
        </w:rPr>
        <w:t>-</w:t>
      </w:r>
      <w:r w:rsidRPr="0014660D">
        <w:rPr>
          <w:rFonts w:ascii="Arial" w:hAnsi="Arial" w:cs="Arial"/>
          <w:sz w:val="20"/>
          <w:szCs w:val="20"/>
        </w:rPr>
        <w:t xml:space="preserve">ROM </w:t>
      </w:r>
    </w:p>
    <w:p w:rsidR="00567791" w:rsidRPr="00770242" w:rsidRDefault="00567791" w:rsidP="00567791">
      <w:pPr>
        <w:pStyle w:val="ISSAbullet"/>
        <w:spacing w:after="200"/>
        <w:rPr>
          <w:i/>
        </w:rPr>
      </w:pPr>
      <w:r w:rsidRPr="00E926B4">
        <w:lastRenderedPageBreak/>
        <w:t>Ole Hanseth, et al</w:t>
      </w:r>
      <w:r>
        <w:t>.</w:t>
      </w:r>
      <w:r>
        <w:br/>
      </w:r>
      <w:r w:rsidRPr="00273F08">
        <w:rPr>
          <w:i/>
        </w:rPr>
        <w:t>Risk, Complexity, and ICT</w:t>
      </w:r>
    </w:p>
    <w:p w:rsidR="00567791" w:rsidRPr="00770242" w:rsidRDefault="00567791" w:rsidP="00567791">
      <w:pPr>
        <w:pStyle w:val="ISSAbullet"/>
        <w:rPr>
          <w:i/>
        </w:rPr>
      </w:pPr>
      <w:r w:rsidRPr="00770242">
        <w:t>Susan Snedaker</w:t>
      </w:r>
      <w:r>
        <w:br/>
      </w:r>
      <w:r w:rsidRPr="00770242">
        <w:rPr>
          <w:i/>
        </w:rPr>
        <w:t>Business Continuity and Disaster Recovery Planning for IT Professionals</w:t>
      </w:r>
    </w:p>
    <w:p w:rsidR="00567791" w:rsidRDefault="00567791" w:rsidP="00567791">
      <w:pPr>
        <w:pStyle w:val="Heading3"/>
      </w:pPr>
      <w:r>
        <w:t>Other References</w:t>
      </w:r>
    </w:p>
    <w:p w:rsidR="00567791" w:rsidRDefault="00567791" w:rsidP="00567791">
      <w:pPr>
        <w:pStyle w:val="ISSAbullet"/>
      </w:pPr>
      <w:r w:rsidRPr="00273F08">
        <w:rPr>
          <w:b/>
        </w:rPr>
        <w:t>COBIT</w:t>
      </w:r>
      <w:r>
        <w:br/>
      </w:r>
      <w:r w:rsidRPr="00A43751">
        <w:t>This URL contains information regarding COBIT from ISACA</w:t>
      </w:r>
      <w:r>
        <w:t>.</w:t>
      </w:r>
      <w:r>
        <w:br/>
      </w:r>
      <w:r w:rsidRPr="00273F08">
        <w:rPr>
          <w:i/>
        </w:rPr>
        <w:t>http://www.isaca.org/cobit/pages/default.aspx</w:t>
      </w:r>
    </w:p>
    <w:p w:rsidR="00567791" w:rsidRDefault="00567791" w:rsidP="00567791">
      <w:pPr>
        <w:pStyle w:val="ISSAbullet"/>
      </w:pPr>
      <w:r w:rsidRPr="00273F08">
        <w:rPr>
          <w:b/>
        </w:rPr>
        <w:t>CIPA</w:t>
      </w:r>
      <w:r>
        <w:br/>
      </w:r>
      <w:r w:rsidRPr="00A43751">
        <w:t>This Website contains information on the Children’s Internet Protection Act from Federal Communications Commission.</w:t>
      </w:r>
      <w:r>
        <w:br/>
      </w:r>
      <w:hyperlink r:id="rId9" w:history="1">
        <w:r w:rsidRPr="00273F08">
          <w:rPr>
            <w:i/>
          </w:rPr>
          <w:t>http://www.fcc.gov/cgb/consumerfacts/cipa.html</w:t>
        </w:r>
      </w:hyperlink>
    </w:p>
    <w:p w:rsidR="00567791" w:rsidRDefault="00567791" w:rsidP="00567791">
      <w:pPr>
        <w:pStyle w:val="ISSAbullet"/>
      </w:pPr>
      <w:r w:rsidRPr="00273F08">
        <w:rPr>
          <w:b/>
        </w:rPr>
        <w:t>FERPA</w:t>
      </w:r>
      <w:r>
        <w:br/>
      </w:r>
      <w:r w:rsidRPr="00A43751">
        <w:t>This URL provides information regarding the Family Educational Rights and Privacy Act from the U.S. Department of Education.</w:t>
      </w:r>
      <w:r>
        <w:br/>
      </w:r>
      <w:hyperlink r:id="rId10" w:history="1">
        <w:r w:rsidRPr="00273F08">
          <w:rPr>
            <w:i/>
          </w:rPr>
          <w:t>http://ed.gov/policy/gen/reg/ferpa/index.html</w:t>
        </w:r>
      </w:hyperlink>
    </w:p>
    <w:p w:rsidR="00567791" w:rsidRDefault="00567791" w:rsidP="00567791">
      <w:pPr>
        <w:pStyle w:val="ISSAbullet"/>
      </w:pPr>
      <w:r w:rsidRPr="00FE4F05">
        <w:rPr>
          <w:b/>
        </w:rPr>
        <w:t>FISMA</w:t>
      </w:r>
      <w:r>
        <w:br/>
      </w:r>
      <w:r w:rsidRPr="00A43751">
        <w:t>This URL contains actual final version of the Federal Information Security Management Act.</w:t>
      </w:r>
      <w:r>
        <w:br/>
      </w:r>
      <w:r w:rsidRPr="00273F08">
        <w:rPr>
          <w:i/>
        </w:rPr>
        <w:t>http://csrc.nist.gov/drivers/documents/FISMA-final.pdf</w:t>
      </w:r>
    </w:p>
    <w:p w:rsidR="00567791" w:rsidRDefault="00567791" w:rsidP="00567791">
      <w:pPr>
        <w:pStyle w:val="ISSAbullet"/>
      </w:pPr>
      <w:r w:rsidRPr="00FE4F05">
        <w:rPr>
          <w:b/>
        </w:rPr>
        <w:t>GLBA</w:t>
      </w:r>
      <w:r>
        <w:br/>
      </w:r>
      <w:r w:rsidRPr="00A43751">
        <w:t>This URL provides inform</w:t>
      </w:r>
      <w:r>
        <w:t>ation regarding the Gramm-Leach-</w:t>
      </w:r>
      <w:r w:rsidRPr="00A43751">
        <w:t>Bliley Act from the Federal Trade Commission.</w:t>
      </w:r>
      <w:r>
        <w:br/>
      </w:r>
      <w:hyperlink r:id="rId11" w:history="1">
        <w:r w:rsidRPr="00273F08">
          <w:rPr>
            <w:i/>
          </w:rPr>
          <w:t>http://www.ftc.gov/privacy/privacyinitiatives/glbact.html</w:t>
        </w:r>
      </w:hyperlink>
    </w:p>
    <w:p w:rsidR="00567791" w:rsidRPr="00A43751" w:rsidRDefault="00567791" w:rsidP="00567791">
      <w:pPr>
        <w:pStyle w:val="ISSAbullet"/>
      </w:pPr>
      <w:r w:rsidRPr="00FE4F05">
        <w:rPr>
          <w:b/>
        </w:rPr>
        <w:t xml:space="preserve">Guide for </w:t>
      </w:r>
      <w:r>
        <w:rPr>
          <w:b/>
        </w:rPr>
        <w:t>Conducting Risk Assessments</w:t>
      </w:r>
      <w:r>
        <w:br/>
      </w:r>
      <w:r w:rsidRPr="00A43751">
        <w:t xml:space="preserve">This URL contains NIST recommendations </w:t>
      </w:r>
      <w:r>
        <w:t>for conducting risk assessments for enterprise-wide risk management.</w:t>
      </w:r>
      <w:r>
        <w:br/>
      </w:r>
      <w:r w:rsidRPr="00273F08">
        <w:rPr>
          <w:i/>
        </w:rPr>
        <w:t>http://csrc.nist.gov/publications/nistpubs/800-30/sp800-30.pdf</w:t>
      </w:r>
    </w:p>
    <w:p w:rsidR="00567791" w:rsidRDefault="00567791" w:rsidP="00567791">
      <w:pPr>
        <w:pStyle w:val="ISSAbullet"/>
      </w:pPr>
      <w:r w:rsidRPr="00FE4F05">
        <w:rPr>
          <w:b/>
        </w:rPr>
        <w:t>Health Information Privacy</w:t>
      </w:r>
      <w:r>
        <w:br/>
      </w:r>
      <w:r w:rsidRPr="00A43751">
        <w:t xml:space="preserve">This URL provides information regarding </w:t>
      </w:r>
      <w:r>
        <w:t>t</w:t>
      </w:r>
      <w:r w:rsidRPr="00006CC2">
        <w:t>he Health Insurance Portability and Accountability Act of 1996 (HIPAA) Privacy, Security</w:t>
      </w:r>
      <w:r>
        <w:t>,</w:t>
      </w:r>
      <w:r w:rsidRPr="00006CC2">
        <w:t xml:space="preserve"> and Breach Notification Rules</w:t>
      </w:r>
      <w:r>
        <w:t>,</w:t>
      </w:r>
      <w:r w:rsidRPr="00A43751">
        <w:t xml:space="preserve"> from the U.S. Department of Health and Human Services.</w:t>
      </w:r>
      <w:r>
        <w:br/>
      </w:r>
      <w:r w:rsidRPr="00273F08">
        <w:rPr>
          <w:i/>
        </w:rPr>
        <w:t>http://www.hhs.gov/ocr/privacy/</w:t>
      </w:r>
    </w:p>
    <w:p w:rsidR="00567791" w:rsidRDefault="00567791" w:rsidP="00567791">
      <w:pPr>
        <w:pStyle w:val="ISSAbullet"/>
      </w:pPr>
      <w:r w:rsidRPr="00FE4F05">
        <w:rPr>
          <w:b/>
        </w:rPr>
        <w:t>ITIL</w:t>
      </w:r>
      <w:r>
        <w:br/>
      </w:r>
      <w:r w:rsidRPr="00A43751">
        <w:t xml:space="preserve">This Website is an official site of for the Information Technology Infrastructure Library from </w:t>
      </w:r>
      <w:r>
        <w:t>AXELOS,</w:t>
      </w:r>
      <w:r w:rsidRPr="00A43751">
        <w:t xml:space="preserve"> which contains information on ITIL and provides a cohesive set of best practice, drawn </w:t>
      </w:r>
      <w:r w:rsidRPr="00A43751">
        <w:lastRenderedPageBreak/>
        <w:t>from the public and private sectors internationally.</w:t>
      </w:r>
      <w:r>
        <w:br/>
      </w:r>
      <w:hyperlink r:id="rId12" w:history="1">
        <w:r w:rsidRPr="00273F08">
          <w:rPr>
            <w:i/>
          </w:rPr>
          <w:t>http://www.itil-officialsite.com/home/home.asp</w:t>
        </w:r>
      </w:hyperlink>
    </w:p>
    <w:p w:rsidR="00567791" w:rsidRDefault="00567791" w:rsidP="00567791">
      <w:pPr>
        <w:pStyle w:val="ISSAbullet"/>
      </w:pPr>
      <w:r w:rsidRPr="00FE4F05">
        <w:rPr>
          <w:b/>
        </w:rPr>
        <w:t>PCI</w:t>
      </w:r>
      <w:r>
        <w:br/>
      </w:r>
      <w:r w:rsidRPr="00A43751">
        <w:t>This Website is an official site of the PCI Security Standards Council</w:t>
      </w:r>
      <w:r>
        <w:t>,</w:t>
      </w:r>
      <w:r w:rsidRPr="00A43751">
        <w:t xml:space="preserve"> which provides details on </w:t>
      </w:r>
      <w:r>
        <w:t xml:space="preserve">payment card industry </w:t>
      </w:r>
      <w:r w:rsidRPr="00A43751">
        <w:t>security standards.</w:t>
      </w:r>
      <w:r>
        <w:br/>
      </w:r>
      <w:hyperlink r:id="rId13" w:history="1">
        <w:r w:rsidRPr="00273F08">
          <w:rPr>
            <w:i/>
          </w:rPr>
          <w:t>https://www.pcisecuritystandards.org/index.shtml</w:t>
        </w:r>
      </w:hyperlink>
    </w:p>
    <w:p w:rsidR="00567791" w:rsidRDefault="004960ED" w:rsidP="00567791">
      <w:pPr>
        <w:pStyle w:val="ISSAbullet"/>
      </w:pPr>
      <w:r w:rsidRPr="00DB5935">
        <w:rPr>
          <w:b/>
        </w:rPr>
        <w:t>Risk Management</w:t>
      </w:r>
      <w:r w:rsidR="00567791" w:rsidRPr="00DB5935">
        <w:rPr>
          <w:b/>
        </w:rPr>
        <w:t xml:space="preserve"> Framework Overview</w:t>
      </w:r>
      <w:r w:rsidR="00567791">
        <w:br/>
        <w:t>This Web page provides an overview of the NIST Risk Management Framework (RMF), with links to related resources.</w:t>
      </w:r>
      <w:r w:rsidR="00567791">
        <w:br/>
      </w:r>
      <w:r w:rsidR="00567791" w:rsidRPr="00DB5935">
        <w:t>http://csrc.nist.gov/groups/SMA/fisma/framework.html</w:t>
      </w:r>
    </w:p>
    <w:p w:rsidR="00567791" w:rsidRPr="00A43751" w:rsidRDefault="00567791" w:rsidP="00567791">
      <w:pPr>
        <w:pStyle w:val="ISSAbullet"/>
      </w:pPr>
      <w:r w:rsidRPr="00FE4F05">
        <w:rPr>
          <w:b/>
        </w:rPr>
        <w:t>Risk Management Association</w:t>
      </w:r>
      <w:r>
        <w:br/>
      </w:r>
      <w:r w:rsidRPr="00A43751">
        <w:t>This Website contains information on the RMA</w:t>
      </w:r>
      <w:r>
        <w:t>,</w:t>
      </w:r>
      <w:r w:rsidRPr="00A43751">
        <w:t xml:space="preserve"> which is a non-profit organization focusing on all aspects of risk management throughout the enterprise.</w:t>
      </w:r>
      <w:r>
        <w:br/>
      </w:r>
      <w:hyperlink r:id="rId14" w:history="1">
        <w:r w:rsidRPr="00273F08">
          <w:rPr>
            <w:i/>
          </w:rPr>
          <w:t>http://www.rmahq.org/</w:t>
        </w:r>
      </w:hyperlink>
      <w:r>
        <w:rPr>
          <w:i/>
        </w:rPr>
        <w:t>about-rma</w:t>
      </w:r>
    </w:p>
    <w:p w:rsidR="00567791" w:rsidRPr="00A43751" w:rsidRDefault="00567791" w:rsidP="00567791">
      <w:pPr>
        <w:pStyle w:val="ISSAbullet"/>
      </w:pPr>
      <w:r w:rsidRPr="00FE4F05">
        <w:rPr>
          <w:b/>
        </w:rPr>
        <w:t>SOX</w:t>
      </w:r>
      <w:r>
        <w:br/>
      </w:r>
      <w:r w:rsidRPr="00A43751">
        <w:t>This Website provides detailed information on the Sarbanes-Oxley Act of 2002.</w:t>
      </w:r>
      <w:r>
        <w:br/>
      </w:r>
      <w:r w:rsidRPr="00273F08">
        <w:rPr>
          <w:i/>
        </w:rPr>
        <w:t>http://www.soxlaw.com/</w:t>
      </w:r>
    </w:p>
    <w:p w:rsidR="00567791" w:rsidRPr="00A43751" w:rsidRDefault="00567791" w:rsidP="00567791">
      <w:pPr>
        <w:pStyle w:val="ISSAbullet"/>
      </w:pPr>
      <w:r w:rsidRPr="00FE4F05">
        <w:rPr>
          <w:b/>
        </w:rPr>
        <w:t>TechRepublic</w:t>
      </w:r>
      <w:r>
        <w:br/>
      </w:r>
      <w:r w:rsidRPr="00A43751">
        <w:t xml:space="preserve">This Website contains articles, videos, pictures, white </w:t>
      </w:r>
      <w:r>
        <w:t>papers, webcasts, and other downloadable</w:t>
      </w:r>
      <w:r w:rsidRPr="00A43751">
        <w:t xml:space="preserve"> material</w:t>
      </w:r>
      <w:r>
        <w:t>s</w:t>
      </w:r>
      <w:r w:rsidRPr="00A43751">
        <w:t xml:space="preserve"> on risk management.</w:t>
      </w:r>
      <w:r>
        <w:br/>
      </w:r>
      <w:r>
        <w:rPr>
          <w:i/>
        </w:rPr>
        <w:t>http://techrepublic.com</w:t>
      </w:r>
      <w:r w:rsidRPr="00273F08">
        <w:rPr>
          <w:i/>
        </w:rPr>
        <w:t>/</w:t>
      </w:r>
    </w:p>
    <w:p w:rsidR="008A171A" w:rsidRPr="00D15DCF" w:rsidRDefault="008A171A" w:rsidP="00D15DCF">
      <w:pPr>
        <w:spacing w:line="276" w:lineRule="auto"/>
        <w:rPr>
          <w:b/>
          <w:sz w:val="24"/>
        </w:rPr>
        <w:sectPr w:rsidR="008A171A" w:rsidRPr="00D15DCF" w:rsidSect="00D15DCF">
          <w:headerReference w:type="default" r:id="rId15"/>
          <w:footerReference w:type="default" r:id="rId16"/>
          <w:footerReference w:type="first" r:id="rId17"/>
          <w:type w:val="continuous"/>
          <w:pgSz w:w="12240" w:h="15840" w:code="1"/>
          <w:pgMar w:top="1440" w:right="1440" w:bottom="1080" w:left="1440" w:header="720" w:footer="720" w:gutter="0"/>
          <w:cols w:space="720"/>
          <w:docGrid w:linePitch="360"/>
        </w:sectPr>
      </w:pPr>
    </w:p>
    <w:p w:rsidR="008A171A" w:rsidRPr="00662CF2" w:rsidRDefault="008A171A" w:rsidP="008A171A">
      <w:pPr>
        <w:rPr>
          <w:b/>
        </w:rPr>
      </w:pPr>
    </w:p>
    <w:p w:rsidR="008A171A" w:rsidRPr="00662CF2" w:rsidRDefault="008A171A" w:rsidP="008A171A">
      <w:pPr>
        <w:rPr>
          <w:b/>
        </w:rPr>
      </w:pPr>
    </w:p>
    <w:p w:rsidR="00D15DCF" w:rsidRDefault="008A171A" w:rsidP="00C937C8">
      <w:pPr>
        <w:keepNext/>
        <w:pBdr>
          <w:bottom w:val="single" w:sz="4" w:space="1" w:color="auto"/>
        </w:pBdr>
        <w:spacing w:before="240" w:after="60"/>
        <w:outlineLvl w:val="0"/>
      </w:pPr>
      <w:r>
        <w:br w:type="page"/>
      </w:r>
    </w:p>
    <w:p w:rsidR="00C937C8" w:rsidRPr="00C937C8" w:rsidRDefault="00C937C8" w:rsidP="00C937C8">
      <w:pPr>
        <w:keepNext/>
        <w:pBdr>
          <w:bottom w:val="single" w:sz="4" w:space="1" w:color="auto"/>
        </w:pBdr>
        <w:spacing w:before="240" w:after="60"/>
        <w:outlineLvl w:val="0"/>
        <w:rPr>
          <w:rFonts w:cs="Arial"/>
          <w:b/>
          <w:bCs/>
          <w:color w:val="365F91"/>
          <w:sz w:val="32"/>
          <w:szCs w:val="32"/>
        </w:rPr>
      </w:pPr>
      <w:r w:rsidRPr="00C937C8">
        <w:rPr>
          <w:rFonts w:cs="Arial"/>
          <w:b/>
          <w:bCs/>
          <w:color w:val="365F91"/>
          <w:sz w:val="32"/>
          <w:szCs w:val="32"/>
        </w:rPr>
        <w:lastRenderedPageBreak/>
        <w:t xml:space="preserve">Course Outline </w:t>
      </w:r>
    </w:p>
    <w:p w:rsidR="00C937C8" w:rsidRPr="00C937C8" w:rsidRDefault="00C937C8" w:rsidP="00C937C8">
      <w:pPr>
        <w:spacing w:before="120"/>
        <w:rPr>
          <w:bCs/>
          <w:iCs/>
          <w:szCs w:val="20"/>
        </w:rPr>
      </w:pPr>
      <w:r w:rsidRPr="00C937C8">
        <w:rPr>
          <w:szCs w:val="20"/>
        </w:rPr>
        <w:t>Course textbook:</w:t>
      </w:r>
      <w:r w:rsidRPr="00C937C8">
        <w:rPr>
          <w:i/>
          <w:szCs w:val="20"/>
        </w:rPr>
        <w:t>Managing Risk in Information Systems</w:t>
      </w:r>
      <w:r w:rsidRPr="00C937C8">
        <w:rPr>
          <w:bCs/>
          <w:iCs/>
          <w:szCs w:val="20"/>
        </w:rPr>
        <w:t>, 2nd edition (Gibson, 2015)</w:t>
      </w:r>
    </w:p>
    <w:tbl>
      <w:tblPr>
        <w:tblW w:w="0" w:type="auto"/>
        <w:shd w:val="clear" w:color="auto" w:fill="C8E1FA"/>
        <w:tblLook w:val="04A0"/>
      </w:tblPr>
      <w:tblGrid>
        <w:gridCol w:w="9216"/>
      </w:tblGrid>
      <w:tr w:rsidR="00B32FCA" w:rsidRPr="0049289B" w:rsidTr="006755FC">
        <w:tc>
          <w:tcPr>
            <w:tcW w:w="9216" w:type="dxa"/>
            <w:shd w:val="clear" w:color="auto" w:fill="C8E1FA"/>
          </w:tcPr>
          <w:p w:rsidR="00B32FCA" w:rsidRPr="0049289B" w:rsidRDefault="00B32FCA" w:rsidP="00B32FCA">
            <w:pPr>
              <w:spacing w:before="60" w:after="120"/>
              <w:rPr>
                <w:rFonts w:cs="Arial"/>
              </w:rPr>
            </w:pPr>
            <w:r w:rsidRPr="0049289B">
              <w:rPr>
                <w:rFonts w:cs="Arial"/>
                <w:b/>
              </w:rPr>
              <w:t>Note:</w:t>
            </w:r>
            <w:r w:rsidRPr="00DA14A3">
              <w:rPr>
                <w:rFonts w:cs="Arial"/>
              </w:rPr>
              <w:t>Assignments in the following table are listed when they are due.</w:t>
            </w:r>
          </w:p>
        </w:tc>
      </w:tr>
    </w:tbl>
    <w:p w:rsidR="00B32FCA" w:rsidRDefault="00B32FCA" w:rsidP="00B32FCA">
      <w:pPr>
        <w:spacing w:after="0" w:line="240" w:lineRule="auto"/>
        <w:rPr>
          <w:rFonts w:cs="Arial"/>
          <w:bCs/>
          <w:iCs/>
          <w:szCs w:val="20"/>
        </w:rPr>
      </w:pPr>
    </w:p>
    <w:tbl>
      <w:tblPr>
        <w:tblStyle w:val="TableGrid"/>
        <w:tblW w:w="8275" w:type="dxa"/>
        <w:tblLayout w:type="fixed"/>
        <w:tblLook w:val="06A0"/>
      </w:tblPr>
      <w:tblGrid>
        <w:gridCol w:w="2065"/>
        <w:gridCol w:w="6210"/>
      </w:tblGrid>
      <w:tr w:rsidR="00337315" w:rsidRPr="00C4305C" w:rsidTr="00337315">
        <w:trPr>
          <w:trHeight w:val="863"/>
          <w:tblHeader/>
        </w:trPr>
        <w:tc>
          <w:tcPr>
            <w:tcW w:w="2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B91"/>
            <w:vAlign w:val="center"/>
          </w:tcPr>
          <w:p w:rsidR="00337315" w:rsidRPr="009E251B" w:rsidRDefault="00337315" w:rsidP="006755FC">
            <w:pPr>
              <w:pStyle w:val="TableHeading"/>
              <w:rPr>
                <w:i/>
              </w:rPr>
            </w:pPr>
            <w:r w:rsidRPr="009E251B">
              <w:lastRenderedPageBreak/>
              <w:t>Grading Category</w:t>
            </w:r>
          </w:p>
        </w:tc>
        <w:tc>
          <w:tcPr>
            <w:tcW w:w="6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B91"/>
            <w:vAlign w:val="center"/>
          </w:tcPr>
          <w:p w:rsidR="00337315" w:rsidRPr="009E251B" w:rsidRDefault="00337315" w:rsidP="006755FC">
            <w:pPr>
              <w:pStyle w:val="TableHeading"/>
              <w:rPr>
                <w:i/>
              </w:rPr>
            </w:pPr>
            <w:r w:rsidRPr="009E251B">
              <w:t>Activity Title</w:t>
            </w:r>
          </w:p>
        </w:tc>
      </w:tr>
      <w:tr w:rsidR="00337315" w:rsidTr="00337315">
        <w:tc>
          <w:tcPr>
            <w:tcW w:w="8275" w:type="dxa"/>
            <w:gridSpan w:val="2"/>
            <w:tcBorders>
              <w:top w:val="single" w:sz="4" w:space="0" w:color="FFFFFF" w:themeColor="background1"/>
            </w:tcBorders>
            <w:vAlign w:val="center"/>
          </w:tcPr>
          <w:p w:rsidR="00337315" w:rsidRPr="00486416" w:rsidRDefault="00337315" w:rsidP="0084701F">
            <w:pPr>
              <w:pStyle w:val="ISSATableLesson"/>
              <w:spacing w:before="60" w:after="60" w:line="240" w:lineRule="auto"/>
            </w:pPr>
            <w:r w:rsidRPr="009C7086">
              <w:t xml:space="preserve">Lesson 1: </w:t>
            </w:r>
            <w:r w:rsidRPr="0013576B">
              <w:t>Risk Management Fundamentals, Compliance Laws, Standards, and Best Practices</w:t>
            </w:r>
          </w:p>
        </w:tc>
      </w:tr>
      <w:tr w:rsidR="00337315" w:rsidTr="00337315">
        <w:tc>
          <w:tcPr>
            <w:tcW w:w="2065" w:type="dxa"/>
          </w:tcPr>
          <w:p w:rsidR="00337315" w:rsidRDefault="00337315" w:rsidP="0084701F">
            <w:pPr>
              <w:pStyle w:val="ISSATableText"/>
              <w:spacing w:before="60" w:after="60" w:line="240" w:lineRule="auto"/>
            </w:pPr>
            <w:r>
              <w:t>Required Readings</w:t>
            </w:r>
          </w:p>
        </w:tc>
        <w:tc>
          <w:tcPr>
            <w:tcW w:w="6210" w:type="dxa"/>
          </w:tcPr>
          <w:p w:rsidR="00337315" w:rsidRPr="00C42A55" w:rsidRDefault="00337315" w:rsidP="0084701F">
            <w:pPr>
              <w:pStyle w:val="ISSATableBullet"/>
              <w:numPr>
                <w:ilvl w:val="0"/>
                <w:numId w:val="41"/>
              </w:numPr>
              <w:tabs>
                <w:tab w:val="clear" w:pos="720"/>
                <w:tab w:val="num" w:pos="252"/>
              </w:tabs>
              <w:spacing w:before="60" w:after="60" w:line="240" w:lineRule="auto"/>
              <w:ind w:left="252" w:hanging="252"/>
            </w:pPr>
            <w:r w:rsidRPr="00C42A55">
              <w:t>Chapter 1</w:t>
            </w:r>
            <w:r>
              <w:t>, “Risk Management Fundamentals”</w:t>
            </w:r>
          </w:p>
          <w:p w:rsidR="00337315" w:rsidRPr="00486416" w:rsidRDefault="00337315" w:rsidP="0084701F">
            <w:pPr>
              <w:pStyle w:val="ISSATableBullet"/>
              <w:numPr>
                <w:ilvl w:val="0"/>
                <w:numId w:val="41"/>
              </w:numPr>
              <w:tabs>
                <w:tab w:val="clear" w:pos="720"/>
                <w:tab w:val="num" w:pos="252"/>
              </w:tabs>
              <w:spacing w:before="60" w:after="60" w:line="240" w:lineRule="auto"/>
              <w:ind w:left="252" w:hanging="252"/>
            </w:pPr>
            <w:r w:rsidRPr="00486416">
              <w:t xml:space="preserve">Chapter </w:t>
            </w:r>
            <w:r>
              <w:t>3, “Managing Compliance”</w:t>
            </w:r>
          </w:p>
        </w:tc>
      </w:tr>
      <w:tr w:rsidR="00337315" w:rsidTr="00337315">
        <w:tc>
          <w:tcPr>
            <w:tcW w:w="2065" w:type="dxa"/>
          </w:tcPr>
          <w:p w:rsidR="00337315" w:rsidRPr="00486416" w:rsidRDefault="00337315" w:rsidP="0084701F">
            <w:pPr>
              <w:pStyle w:val="ISSATableText"/>
              <w:spacing w:before="60" w:after="60" w:line="240" w:lineRule="auto"/>
            </w:pPr>
            <w:r>
              <w:t>Lab</w:t>
            </w:r>
          </w:p>
        </w:tc>
        <w:tc>
          <w:tcPr>
            <w:tcW w:w="6210" w:type="dxa"/>
          </w:tcPr>
          <w:p w:rsidR="00337315" w:rsidRPr="00486416" w:rsidRDefault="00337315" w:rsidP="0084701F">
            <w:pPr>
              <w:pStyle w:val="ISSATableText"/>
              <w:spacing w:before="60" w:after="60" w:line="240" w:lineRule="auto"/>
            </w:pPr>
            <w:r w:rsidRPr="0013576B">
              <w:t>Identify</w:t>
            </w:r>
            <w:r>
              <w:t>ing</w:t>
            </w:r>
            <w:r w:rsidRPr="0013576B">
              <w:t xml:space="preserve"> Threats </w:t>
            </w:r>
            <w:r>
              <w:t>and</w:t>
            </w:r>
            <w:r w:rsidRPr="0013576B">
              <w:t xml:space="preserve"> Vulnerabilities in an IT Infrastructure</w:t>
            </w:r>
          </w:p>
        </w:tc>
      </w:tr>
      <w:tr w:rsidR="00337315" w:rsidTr="00337315">
        <w:tc>
          <w:tcPr>
            <w:tcW w:w="2065" w:type="dxa"/>
          </w:tcPr>
          <w:p w:rsidR="00337315" w:rsidRDefault="00337315" w:rsidP="0084701F">
            <w:pPr>
              <w:pStyle w:val="ISSATableText"/>
              <w:spacing w:before="60" w:after="60" w:line="240" w:lineRule="auto"/>
            </w:pPr>
            <w:r>
              <w:t>Lab</w:t>
            </w:r>
          </w:p>
        </w:tc>
        <w:tc>
          <w:tcPr>
            <w:tcW w:w="6210" w:type="dxa"/>
          </w:tcPr>
          <w:p w:rsidR="00337315" w:rsidRPr="00486416" w:rsidRDefault="00337315" w:rsidP="0084701F">
            <w:pPr>
              <w:pStyle w:val="ISSATableText"/>
              <w:spacing w:before="60" w:after="60" w:line="240" w:lineRule="auto"/>
            </w:pPr>
            <w:r w:rsidRPr="00F52E0A">
              <w:t>Align</w:t>
            </w:r>
            <w:r>
              <w:t>ing</w:t>
            </w:r>
            <w:r w:rsidRPr="00F52E0A">
              <w:t xml:space="preserve"> Risk</w:t>
            </w:r>
            <w:r>
              <w:t>s</w:t>
            </w:r>
            <w:r w:rsidRPr="00F52E0A">
              <w:t xml:space="preserve">, Threats, </w:t>
            </w:r>
            <w:r>
              <w:t>and</w:t>
            </w:r>
            <w:r w:rsidRPr="00F52E0A">
              <w:t xml:space="preserve"> Vulnerabilities to COBIT P09 Risk Management Controls</w:t>
            </w:r>
          </w:p>
        </w:tc>
      </w:tr>
      <w:tr w:rsidR="00337315" w:rsidTr="00337315">
        <w:tc>
          <w:tcPr>
            <w:tcW w:w="8275" w:type="dxa"/>
            <w:gridSpan w:val="2"/>
            <w:vAlign w:val="center"/>
          </w:tcPr>
          <w:p w:rsidR="00337315" w:rsidRPr="00486416" w:rsidRDefault="00337315" w:rsidP="0084701F">
            <w:pPr>
              <w:pStyle w:val="ISSATableLesson"/>
              <w:spacing w:before="60" w:after="60" w:line="240" w:lineRule="auto"/>
              <w:rPr>
                <w:bCs w:val="0"/>
                <w:iCs w:val="0"/>
              </w:rPr>
            </w:pPr>
            <w:r w:rsidRPr="005362DE">
              <w:rPr>
                <w:bCs w:val="0"/>
                <w:iCs w:val="0"/>
              </w:rPr>
              <w:t>Lesson 2:</w:t>
            </w:r>
            <w:r w:rsidRPr="0013576B">
              <w:t>Risk Management Planning</w:t>
            </w:r>
          </w:p>
        </w:tc>
      </w:tr>
      <w:tr w:rsidR="00337315" w:rsidTr="00337315">
        <w:tc>
          <w:tcPr>
            <w:tcW w:w="2065" w:type="dxa"/>
          </w:tcPr>
          <w:p w:rsidR="00337315" w:rsidRDefault="00337315" w:rsidP="0084701F">
            <w:pPr>
              <w:pStyle w:val="ISSATableText"/>
              <w:spacing w:before="60" w:after="60" w:line="240" w:lineRule="auto"/>
            </w:pPr>
            <w:r>
              <w:t>Required Readings</w:t>
            </w:r>
          </w:p>
        </w:tc>
        <w:tc>
          <w:tcPr>
            <w:tcW w:w="6210" w:type="dxa"/>
          </w:tcPr>
          <w:p w:rsidR="00337315" w:rsidRDefault="00337315" w:rsidP="0084701F">
            <w:pPr>
              <w:pStyle w:val="ISSATableBullet"/>
              <w:numPr>
                <w:ilvl w:val="0"/>
                <w:numId w:val="41"/>
              </w:numPr>
              <w:tabs>
                <w:tab w:val="clear" w:pos="720"/>
                <w:tab w:val="num" w:pos="252"/>
              </w:tabs>
              <w:spacing w:before="60" w:after="60" w:line="240" w:lineRule="auto"/>
              <w:ind w:left="252" w:hanging="252"/>
            </w:pPr>
            <w:r w:rsidRPr="00486416">
              <w:t xml:space="preserve">Chapter </w:t>
            </w:r>
            <w:r>
              <w:t>2, “Managing Risk: Threats, Vulnerabilities, and Exploits”</w:t>
            </w:r>
          </w:p>
          <w:p w:rsidR="00337315" w:rsidRPr="00486416" w:rsidRDefault="00337315" w:rsidP="0084701F">
            <w:pPr>
              <w:pStyle w:val="ISSATableBullet"/>
              <w:numPr>
                <w:ilvl w:val="0"/>
                <w:numId w:val="41"/>
              </w:numPr>
              <w:tabs>
                <w:tab w:val="clear" w:pos="720"/>
                <w:tab w:val="num" w:pos="252"/>
              </w:tabs>
              <w:spacing w:before="60" w:after="60" w:line="240" w:lineRule="auto"/>
              <w:ind w:left="252" w:hanging="252"/>
            </w:pPr>
            <w:r>
              <w:t>Chapter 4, “Developing a Risk Management Plan”</w:t>
            </w:r>
          </w:p>
        </w:tc>
      </w:tr>
      <w:tr w:rsidR="00337315" w:rsidTr="00337315">
        <w:tc>
          <w:tcPr>
            <w:tcW w:w="2065" w:type="dxa"/>
          </w:tcPr>
          <w:p w:rsidR="00337315" w:rsidRPr="00486416" w:rsidRDefault="00337315" w:rsidP="0084701F">
            <w:pPr>
              <w:pStyle w:val="ISSATableText"/>
              <w:spacing w:before="60" w:after="60" w:line="240" w:lineRule="auto"/>
            </w:pPr>
            <w:r>
              <w:t>Lab</w:t>
            </w:r>
          </w:p>
        </w:tc>
        <w:tc>
          <w:tcPr>
            <w:tcW w:w="6210" w:type="dxa"/>
          </w:tcPr>
          <w:p w:rsidR="00337315" w:rsidRPr="00486416" w:rsidRDefault="00337315" w:rsidP="0084701F">
            <w:pPr>
              <w:pStyle w:val="ISSATableText"/>
              <w:spacing w:before="60" w:after="60" w:line="240" w:lineRule="auto"/>
            </w:pPr>
            <w:r>
              <w:t>Defining</w:t>
            </w:r>
            <w:r w:rsidRPr="003B1ADF">
              <w:t xml:space="preserve"> the Scope </w:t>
            </w:r>
            <w:r>
              <w:t>and</w:t>
            </w:r>
            <w:r w:rsidRPr="003B1ADF">
              <w:t xml:space="preserve"> Structure for an IT Risk Management Plan</w:t>
            </w:r>
          </w:p>
        </w:tc>
      </w:tr>
      <w:tr w:rsidR="00337315" w:rsidTr="00337315">
        <w:tc>
          <w:tcPr>
            <w:tcW w:w="8275" w:type="dxa"/>
            <w:gridSpan w:val="2"/>
            <w:vAlign w:val="center"/>
          </w:tcPr>
          <w:p w:rsidR="00337315" w:rsidRPr="00486416" w:rsidRDefault="00337315" w:rsidP="0084701F">
            <w:pPr>
              <w:pStyle w:val="ISSATableLesson"/>
              <w:spacing w:before="60" w:after="60" w:line="240" w:lineRule="auto"/>
            </w:pPr>
            <w:r w:rsidRPr="009C7086">
              <w:t xml:space="preserve">Lesson </w:t>
            </w:r>
            <w:r>
              <w:t>3</w:t>
            </w:r>
            <w:r w:rsidRPr="009C7086">
              <w:t xml:space="preserve">: </w:t>
            </w:r>
            <w:r w:rsidRPr="0013576B">
              <w:t>Concepts of Risk Assessment</w:t>
            </w:r>
          </w:p>
        </w:tc>
      </w:tr>
      <w:tr w:rsidR="00337315" w:rsidTr="00337315">
        <w:tc>
          <w:tcPr>
            <w:tcW w:w="2065" w:type="dxa"/>
          </w:tcPr>
          <w:p w:rsidR="00337315" w:rsidRDefault="00337315" w:rsidP="0084701F">
            <w:pPr>
              <w:pStyle w:val="ISSATableText"/>
              <w:spacing w:before="60" w:after="60" w:line="240" w:lineRule="auto"/>
            </w:pPr>
            <w:r>
              <w:t>Required Readings</w:t>
            </w:r>
          </w:p>
        </w:tc>
        <w:tc>
          <w:tcPr>
            <w:tcW w:w="6210" w:type="dxa"/>
          </w:tcPr>
          <w:p w:rsidR="00337315" w:rsidRDefault="00337315" w:rsidP="0084701F">
            <w:pPr>
              <w:pStyle w:val="ISSATableBullet"/>
              <w:numPr>
                <w:ilvl w:val="0"/>
                <w:numId w:val="41"/>
              </w:numPr>
              <w:tabs>
                <w:tab w:val="clear" w:pos="720"/>
                <w:tab w:val="num" w:pos="252"/>
              </w:tabs>
              <w:spacing w:before="60" w:after="60" w:line="240" w:lineRule="auto"/>
              <w:ind w:left="252" w:hanging="252"/>
            </w:pPr>
            <w:r w:rsidRPr="00486416">
              <w:t xml:space="preserve">Chapter </w:t>
            </w:r>
            <w:r>
              <w:t>5, “Defining Risk Assessment Approaches”</w:t>
            </w:r>
          </w:p>
          <w:p w:rsidR="00337315" w:rsidRPr="00486416" w:rsidRDefault="00337315" w:rsidP="0084701F">
            <w:pPr>
              <w:pStyle w:val="ISSATableBullet"/>
              <w:numPr>
                <w:ilvl w:val="0"/>
                <w:numId w:val="41"/>
              </w:numPr>
              <w:tabs>
                <w:tab w:val="clear" w:pos="720"/>
                <w:tab w:val="num" w:pos="252"/>
              </w:tabs>
              <w:spacing w:before="60" w:after="60" w:line="240" w:lineRule="auto"/>
              <w:ind w:left="252" w:hanging="252"/>
            </w:pPr>
            <w:r>
              <w:t>Chapter 6, “Performing a Risk Assessment”</w:t>
            </w:r>
          </w:p>
        </w:tc>
      </w:tr>
      <w:tr w:rsidR="00337315" w:rsidTr="00337315">
        <w:tc>
          <w:tcPr>
            <w:tcW w:w="2065" w:type="dxa"/>
          </w:tcPr>
          <w:p w:rsidR="00337315" w:rsidRPr="00486416" w:rsidRDefault="00337315" w:rsidP="0084701F">
            <w:pPr>
              <w:pStyle w:val="ISSATableText"/>
              <w:spacing w:before="60" w:after="60" w:line="240" w:lineRule="auto"/>
            </w:pPr>
            <w:r>
              <w:t>Lab</w:t>
            </w:r>
          </w:p>
        </w:tc>
        <w:tc>
          <w:tcPr>
            <w:tcW w:w="6210" w:type="dxa"/>
          </w:tcPr>
          <w:p w:rsidR="00337315" w:rsidRPr="00486416" w:rsidRDefault="00337315" w:rsidP="0084701F">
            <w:pPr>
              <w:pStyle w:val="ISSATableText"/>
              <w:spacing w:before="60" w:after="60" w:line="240" w:lineRule="auto"/>
            </w:pPr>
            <w:r w:rsidRPr="000E00AB">
              <w:t>Perform</w:t>
            </w:r>
            <w:r>
              <w:t>ing</w:t>
            </w:r>
            <w:r w:rsidRPr="000E00AB">
              <w:t xml:space="preserve"> a Qualitative Risk Assessment for an IT Infrastructure</w:t>
            </w:r>
          </w:p>
        </w:tc>
      </w:tr>
      <w:tr w:rsidR="00337315" w:rsidTr="00337315">
        <w:tc>
          <w:tcPr>
            <w:tcW w:w="2065" w:type="dxa"/>
          </w:tcPr>
          <w:p w:rsidR="00337315" w:rsidRDefault="00337315" w:rsidP="007A22D4">
            <w:pPr>
              <w:pStyle w:val="ISSATableText"/>
              <w:spacing w:before="60" w:after="60" w:line="240" w:lineRule="auto"/>
            </w:pPr>
            <w:r>
              <w:t xml:space="preserve">Project </w:t>
            </w:r>
          </w:p>
        </w:tc>
        <w:tc>
          <w:tcPr>
            <w:tcW w:w="6210" w:type="dxa"/>
          </w:tcPr>
          <w:p w:rsidR="00337315" w:rsidRDefault="00337315" w:rsidP="007A22D4">
            <w:pPr>
              <w:pStyle w:val="ISSATableText"/>
              <w:spacing w:before="60" w:after="60" w:line="240" w:lineRule="auto"/>
            </w:pPr>
            <w:r>
              <w:t>Project Part 1 Task 1: Risk Management Plan</w:t>
            </w:r>
          </w:p>
        </w:tc>
      </w:tr>
      <w:tr w:rsidR="00337315" w:rsidTr="00337315">
        <w:tc>
          <w:tcPr>
            <w:tcW w:w="8275" w:type="dxa"/>
            <w:gridSpan w:val="2"/>
            <w:vAlign w:val="center"/>
          </w:tcPr>
          <w:p w:rsidR="00337315" w:rsidRPr="00486416" w:rsidRDefault="00337315" w:rsidP="0084701F">
            <w:pPr>
              <w:pStyle w:val="ISSATableLesson"/>
              <w:spacing w:before="60" w:after="60" w:line="240" w:lineRule="auto"/>
            </w:pPr>
            <w:r w:rsidRPr="009C7086">
              <w:t xml:space="preserve">Lesson </w:t>
            </w:r>
            <w:r>
              <w:t>4</w:t>
            </w:r>
            <w:r w:rsidRPr="009C7086">
              <w:t xml:space="preserve">: </w:t>
            </w:r>
            <w:r w:rsidRPr="0013576B">
              <w:t>Key Components of Risk Assessment</w:t>
            </w:r>
          </w:p>
        </w:tc>
      </w:tr>
      <w:tr w:rsidR="00337315" w:rsidTr="00337315">
        <w:tc>
          <w:tcPr>
            <w:tcW w:w="2065" w:type="dxa"/>
          </w:tcPr>
          <w:p w:rsidR="00337315" w:rsidRDefault="00337315" w:rsidP="0084701F">
            <w:pPr>
              <w:pStyle w:val="ISSATableText"/>
              <w:spacing w:before="60" w:after="60" w:line="240" w:lineRule="auto"/>
            </w:pPr>
            <w:r>
              <w:t>Required Readings</w:t>
            </w:r>
          </w:p>
          <w:p w:rsidR="00337315" w:rsidRDefault="00337315" w:rsidP="0084701F">
            <w:pPr>
              <w:pStyle w:val="ISSATableText"/>
              <w:spacing w:before="60" w:after="60" w:line="240" w:lineRule="auto"/>
            </w:pPr>
          </w:p>
          <w:p w:rsidR="00337315" w:rsidRDefault="00337315" w:rsidP="0084701F">
            <w:pPr>
              <w:pStyle w:val="ISSATableText"/>
              <w:spacing w:before="60" w:after="60" w:line="240" w:lineRule="auto"/>
            </w:pPr>
          </w:p>
        </w:tc>
        <w:tc>
          <w:tcPr>
            <w:tcW w:w="6210" w:type="dxa"/>
          </w:tcPr>
          <w:p w:rsidR="00337315" w:rsidRDefault="00337315" w:rsidP="0084701F">
            <w:pPr>
              <w:pStyle w:val="ISSATableBullet"/>
              <w:numPr>
                <w:ilvl w:val="0"/>
                <w:numId w:val="41"/>
              </w:numPr>
              <w:tabs>
                <w:tab w:val="clear" w:pos="720"/>
                <w:tab w:val="num" w:pos="252"/>
              </w:tabs>
              <w:spacing w:before="60" w:after="60" w:line="240" w:lineRule="auto"/>
              <w:ind w:left="252" w:hanging="252"/>
            </w:pPr>
            <w:r w:rsidRPr="00486416">
              <w:t xml:space="preserve">Chapter </w:t>
            </w:r>
            <w:r>
              <w:t>7, “Identifying Assets and Activities to be Protected”</w:t>
            </w:r>
          </w:p>
          <w:p w:rsidR="00337315" w:rsidRDefault="00337315" w:rsidP="0084701F">
            <w:pPr>
              <w:pStyle w:val="ISSATableBullet"/>
              <w:numPr>
                <w:ilvl w:val="0"/>
                <w:numId w:val="41"/>
              </w:numPr>
              <w:tabs>
                <w:tab w:val="clear" w:pos="720"/>
                <w:tab w:val="num" w:pos="252"/>
              </w:tabs>
              <w:spacing w:before="60" w:after="60" w:line="240" w:lineRule="auto"/>
              <w:ind w:left="252" w:hanging="252"/>
            </w:pPr>
            <w:r>
              <w:t>Chapter 8, “Identifying and Analyzing Threats, Vulnerabilities, and Exploits”</w:t>
            </w:r>
          </w:p>
          <w:p w:rsidR="00337315" w:rsidRPr="00486416" w:rsidRDefault="00337315" w:rsidP="0084701F">
            <w:pPr>
              <w:pStyle w:val="ISSATableBullet"/>
              <w:numPr>
                <w:ilvl w:val="0"/>
                <w:numId w:val="41"/>
              </w:numPr>
              <w:tabs>
                <w:tab w:val="clear" w:pos="720"/>
                <w:tab w:val="num" w:pos="252"/>
              </w:tabs>
              <w:spacing w:before="60" w:after="60" w:line="240" w:lineRule="auto"/>
              <w:ind w:left="252" w:hanging="252"/>
            </w:pPr>
            <w:r>
              <w:t>Chapter 9, “Identifying and Analyzing Risk Mitigation Security Controls”</w:t>
            </w:r>
          </w:p>
        </w:tc>
      </w:tr>
      <w:tr w:rsidR="00337315" w:rsidTr="00337315">
        <w:tc>
          <w:tcPr>
            <w:tcW w:w="2065" w:type="dxa"/>
          </w:tcPr>
          <w:p w:rsidR="00337315" w:rsidRPr="00486416" w:rsidRDefault="00337315" w:rsidP="0084701F">
            <w:pPr>
              <w:pStyle w:val="ISSATableText"/>
              <w:spacing w:before="60" w:after="60" w:line="240" w:lineRule="auto"/>
            </w:pPr>
            <w:r>
              <w:t>Lab</w:t>
            </w:r>
          </w:p>
        </w:tc>
        <w:tc>
          <w:tcPr>
            <w:tcW w:w="6210" w:type="dxa"/>
          </w:tcPr>
          <w:p w:rsidR="00337315" w:rsidRPr="00486416" w:rsidRDefault="00337315" w:rsidP="0084701F">
            <w:pPr>
              <w:pStyle w:val="ISSATableText"/>
              <w:spacing w:before="60" w:after="60" w:line="240" w:lineRule="auto"/>
            </w:pPr>
            <w:r w:rsidRPr="00C937C8">
              <w:t>Identifying Risks, Threats, Vulnerabilities in an IT Infrastructure Using Zenmap® GUI (Nmap) and Nessus® Reports</w:t>
            </w:r>
          </w:p>
        </w:tc>
      </w:tr>
      <w:tr w:rsidR="00337315" w:rsidTr="00337315">
        <w:tc>
          <w:tcPr>
            <w:tcW w:w="2065" w:type="dxa"/>
          </w:tcPr>
          <w:p w:rsidR="00337315" w:rsidRDefault="00337315" w:rsidP="0084701F">
            <w:pPr>
              <w:pStyle w:val="ISSATableText"/>
              <w:spacing w:before="60" w:after="60" w:line="240" w:lineRule="auto"/>
            </w:pPr>
            <w:r>
              <w:t>Exam</w:t>
            </w:r>
          </w:p>
        </w:tc>
        <w:tc>
          <w:tcPr>
            <w:tcW w:w="6210" w:type="dxa"/>
          </w:tcPr>
          <w:p w:rsidR="00337315" w:rsidRPr="00C937C8" w:rsidRDefault="00337315" w:rsidP="0084701F">
            <w:pPr>
              <w:pStyle w:val="ISSATableText"/>
              <w:spacing w:before="60" w:after="60" w:line="240" w:lineRule="auto"/>
            </w:pPr>
            <w:r>
              <w:t>Midterm Exam</w:t>
            </w:r>
          </w:p>
        </w:tc>
      </w:tr>
      <w:tr w:rsidR="00337315" w:rsidTr="00337315">
        <w:tc>
          <w:tcPr>
            <w:tcW w:w="8275" w:type="dxa"/>
            <w:gridSpan w:val="2"/>
            <w:vAlign w:val="center"/>
          </w:tcPr>
          <w:p w:rsidR="00337315" w:rsidRPr="00486416" w:rsidRDefault="00337315" w:rsidP="0084701F">
            <w:pPr>
              <w:pStyle w:val="ISSATableLesson"/>
              <w:spacing w:before="60" w:after="60" w:line="240" w:lineRule="auto"/>
            </w:pPr>
            <w:r w:rsidRPr="009C7086">
              <w:t xml:space="preserve">Lesson </w:t>
            </w:r>
            <w:r>
              <w:t>5</w:t>
            </w:r>
            <w:r w:rsidRPr="009C7086">
              <w:t xml:space="preserve">: </w:t>
            </w:r>
            <w:r w:rsidRPr="0013576B">
              <w:t>Strategies for Mitigating Risk</w:t>
            </w:r>
          </w:p>
        </w:tc>
      </w:tr>
      <w:tr w:rsidR="00337315" w:rsidTr="00337315">
        <w:tc>
          <w:tcPr>
            <w:tcW w:w="2065" w:type="dxa"/>
          </w:tcPr>
          <w:p w:rsidR="00337315" w:rsidRDefault="00337315" w:rsidP="0084701F">
            <w:pPr>
              <w:pStyle w:val="ISSATableText"/>
              <w:spacing w:before="60" w:after="60" w:line="240" w:lineRule="auto"/>
            </w:pPr>
            <w:r>
              <w:t>Required Readings</w:t>
            </w:r>
          </w:p>
        </w:tc>
        <w:tc>
          <w:tcPr>
            <w:tcW w:w="6210" w:type="dxa"/>
          </w:tcPr>
          <w:p w:rsidR="00337315" w:rsidRDefault="00337315" w:rsidP="0084701F">
            <w:pPr>
              <w:pStyle w:val="ISSATableBullet"/>
              <w:numPr>
                <w:ilvl w:val="0"/>
                <w:numId w:val="41"/>
              </w:numPr>
              <w:tabs>
                <w:tab w:val="clear" w:pos="720"/>
                <w:tab w:val="num" w:pos="252"/>
              </w:tabs>
              <w:spacing w:before="60" w:after="60" w:line="240" w:lineRule="auto"/>
              <w:ind w:left="252" w:hanging="252"/>
            </w:pPr>
            <w:r w:rsidRPr="00486416">
              <w:t xml:space="preserve">Chapter </w:t>
            </w:r>
            <w:r>
              <w:t>10, “Planning Risk Mitigation Throughout Your Organization”</w:t>
            </w:r>
          </w:p>
          <w:p w:rsidR="00337315" w:rsidRPr="00486416" w:rsidRDefault="00337315" w:rsidP="0084701F">
            <w:pPr>
              <w:pStyle w:val="ISSATableBullet"/>
              <w:numPr>
                <w:ilvl w:val="0"/>
                <w:numId w:val="41"/>
              </w:numPr>
              <w:tabs>
                <w:tab w:val="clear" w:pos="720"/>
                <w:tab w:val="num" w:pos="252"/>
              </w:tabs>
              <w:spacing w:before="60" w:after="60" w:line="240" w:lineRule="auto"/>
              <w:ind w:left="252" w:hanging="252"/>
            </w:pPr>
            <w:r>
              <w:t xml:space="preserve">Chapter 11, “Turning Your Risk Assessment into a Risk </w:t>
            </w:r>
            <w:r>
              <w:lastRenderedPageBreak/>
              <w:t>Mitigation Plan”</w:t>
            </w:r>
          </w:p>
        </w:tc>
      </w:tr>
      <w:tr w:rsidR="00337315" w:rsidTr="00337315">
        <w:tc>
          <w:tcPr>
            <w:tcW w:w="2065" w:type="dxa"/>
          </w:tcPr>
          <w:p w:rsidR="00337315" w:rsidRPr="00486416" w:rsidRDefault="00337315" w:rsidP="0084701F">
            <w:pPr>
              <w:pStyle w:val="ISSATableText"/>
              <w:spacing w:before="60" w:after="60" w:line="240" w:lineRule="auto"/>
            </w:pPr>
            <w:r>
              <w:lastRenderedPageBreak/>
              <w:t>Lab</w:t>
            </w:r>
          </w:p>
        </w:tc>
        <w:tc>
          <w:tcPr>
            <w:tcW w:w="6210" w:type="dxa"/>
          </w:tcPr>
          <w:p w:rsidR="00337315" w:rsidRPr="00486416" w:rsidRDefault="00337315" w:rsidP="0084701F">
            <w:pPr>
              <w:pStyle w:val="ISSATableText"/>
              <w:spacing w:before="60" w:after="60" w:line="240" w:lineRule="auto"/>
            </w:pPr>
            <w:r w:rsidRPr="0013576B">
              <w:t>Develop</w:t>
            </w:r>
            <w:r>
              <w:t>ing</w:t>
            </w:r>
            <w:r w:rsidRPr="0013576B">
              <w:t xml:space="preserve"> a Risk</w:t>
            </w:r>
            <w:r>
              <w:t>-</w:t>
            </w:r>
            <w:r w:rsidRPr="0013576B">
              <w:t>Mitigation Plan Outline for an IT Infrastructure</w:t>
            </w:r>
          </w:p>
        </w:tc>
      </w:tr>
      <w:tr w:rsidR="00337315" w:rsidTr="00337315">
        <w:tc>
          <w:tcPr>
            <w:tcW w:w="8275" w:type="dxa"/>
            <w:gridSpan w:val="2"/>
            <w:vAlign w:val="center"/>
          </w:tcPr>
          <w:p w:rsidR="00337315" w:rsidRPr="00486416" w:rsidRDefault="00337315" w:rsidP="0084701F">
            <w:pPr>
              <w:pStyle w:val="ISSATableLesson"/>
              <w:spacing w:before="60" w:after="60" w:line="240" w:lineRule="auto"/>
            </w:pPr>
            <w:r w:rsidRPr="009C7086">
              <w:t xml:space="preserve">Lesson </w:t>
            </w:r>
            <w:r>
              <w:t>6</w:t>
            </w:r>
            <w:r w:rsidRPr="009C7086">
              <w:t xml:space="preserve">: </w:t>
            </w:r>
            <w:r w:rsidRPr="0013576B">
              <w:t>Business Impact Analysis</w:t>
            </w:r>
            <w:r>
              <w:t xml:space="preserve"> and Continuity Planning</w:t>
            </w:r>
          </w:p>
        </w:tc>
      </w:tr>
      <w:tr w:rsidR="00337315" w:rsidTr="00337315">
        <w:tc>
          <w:tcPr>
            <w:tcW w:w="2065" w:type="dxa"/>
          </w:tcPr>
          <w:p w:rsidR="00337315" w:rsidRDefault="00337315" w:rsidP="0084701F">
            <w:pPr>
              <w:pStyle w:val="ISSATableText"/>
              <w:spacing w:before="60" w:after="60" w:line="240" w:lineRule="auto"/>
            </w:pPr>
            <w:r>
              <w:t>Required Readings</w:t>
            </w:r>
          </w:p>
        </w:tc>
        <w:tc>
          <w:tcPr>
            <w:tcW w:w="6210" w:type="dxa"/>
          </w:tcPr>
          <w:p w:rsidR="00337315" w:rsidRDefault="00337315" w:rsidP="0084701F">
            <w:pPr>
              <w:pStyle w:val="ISSATableBullet"/>
              <w:numPr>
                <w:ilvl w:val="0"/>
                <w:numId w:val="41"/>
              </w:numPr>
              <w:tabs>
                <w:tab w:val="clear" w:pos="720"/>
                <w:tab w:val="num" w:pos="252"/>
              </w:tabs>
              <w:spacing w:before="60" w:after="60" w:line="240" w:lineRule="auto"/>
              <w:ind w:left="252" w:hanging="252"/>
            </w:pPr>
            <w:r>
              <w:t>Chapter 12, “Mitigating Risk with a Business Impact Analysis”</w:t>
            </w:r>
          </w:p>
          <w:p w:rsidR="00337315" w:rsidRPr="00486416" w:rsidRDefault="00337315" w:rsidP="0084701F">
            <w:pPr>
              <w:pStyle w:val="ISSATableBullet"/>
              <w:numPr>
                <w:ilvl w:val="0"/>
                <w:numId w:val="41"/>
              </w:numPr>
              <w:tabs>
                <w:tab w:val="clear" w:pos="720"/>
                <w:tab w:val="num" w:pos="252"/>
              </w:tabs>
              <w:spacing w:before="60" w:after="60" w:line="240" w:lineRule="auto"/>
              <w:ind w:left="252" w:hanging="252"/>
            </w:pPr>
            <w:r>
              <w:t>Chapter 13, “Mitigating Risk with a Business Continuity Plan”</w:t>
            </w:r>
          </w:p>
        </w:tc>
      </w:tr>
      <w:tr w:rsidR="00337315" w:rsidTr="00337315">
        <w:tc>
          <w:tcPr>
            <w:tcW w:w="2065" w:type="dxa"/>
          </w:tcPr>
          <w:p w:rsidR="00337315" w:rsidRPr="00486416" w:rsidRDefault="00337315" w:rsidP="0084701F">
            <w:pPr>
              <w:pStyle w:val="ISSATableText"/>
              <w:spacing w:before="60" w:after="60" w:line="240" w:lineRule="auto"/>
            </w:pPr>
            <w:r>
              <w:t>Lab</w:t>
            </w:r>
          </w:p>
        </w:tc>
        <w:tc>
          <w:tcPr>
            <w:tcW w:w="6210" w:type="dxa"/>
          </w:tcPr>
          <w:p w:rsidR="00337315" w:rsidRDefault="00337315" w:rsidP="0084701F">
            <w:pPr>
              <w:pStyle w:val="ISSATableText"/>
              <w:numPr>
                <w:ilvl w:val="0"/>
                <w:numId w:val="44"/>
              </w:numPr>
              <w:spacing w:before="60" w:after="60" w:line="240" w:lineRule="auto"/>
              <w:rPr>
                <w:rFonts w:eastAsiaTheme="majorEastAsia"/>
                <w:i/>
                <w:iCs w:val="0"/>
                <w:color w:val="243F60" w:themeColor="accent1" w:themeShade="7F"/>
              </w:rPr>
            </w:pPr>
            <w:r w:rsidRPr="0013576B">
              <w:t>Perform</w:t>
            </w:r>
            <w:r>
              <w:t>ing</w:t>
            </w:r>
            <w:r w:rsidRPr="0013576B">
              <w:t xml:space="preserve"> a Business Impact Analysis for a Mock IT Infrastructure</w:t>
            </w:r>
          </w:p>
          <w:p w:rsidR="00337315" w:rsidRPr="00486416" w:rsidRDefault="00337315" w:rsidP="0084701F">
            <w:pPr>
              <w:pStyle w:val="ISSATableText"/>
              <w:numPr>
                <w:ilvl w:val="0"/>
                <w:numId w:val="44"/>
              </w:numPr>
              <w:spacing w:before="60" w:after="60" w:line="240" w:lineRule="auto"/>
            </w:pPr>
            <w:r w:rsidRPr="0013576B">
              <w:t>Develop</w:t>
            </w:r>
            <w:r>
              <w:t>ing</w:t>
            </w:r>
            <w:r w:rsidRPr="0013576B">
              <w:t xml:space="preserve"> an Outline for a Business Continuity Plan for an IT Infrastructure</w:t>
            </w:r>
          </w:p>
        </w:tc>
      </w:tr>
      <w:tr w:rsidR="00337315" w:rsidTr="00337315">
        <w:tc>
          <w:tcPr>
            <w:tcW w:w="8275" w:type="dxa"/>
            <w:gridSpan w:val="2"/>
            <w:vAlign w:val="center"/>
          </w:tcPr>
          <w:p w:rsidR="00337315" w:rsidRPr="00486416" w:rsidRDefault="00337315" w:rsidP="0084701F">
            <w:pPr>
              <w:pStyle w:val="ISSATableLesson"/>
              <w:spacing w:before="60" w:after="60" w:line="240" w:lineRule="auto"/>
            </w:pPr>
            <w:r w:rsidRPr="009C7086">
              <w:t xml:space="preserve">Lesson </w:t>
            </w:r>
            <w:r>
              <w:t>7</w:t>
            </w:r>
            <w:r w:rsidRPr="009C7086">
              <w:t xml:space="preserve">: </w:t>
            </w:r>
            <w:r w:rsidRPr="00A602D3">
              <w:t>Disaster Recovery</w:t>
            </w:r>
            <w:r>
              <w:t>, Incident Response Team, and Plan</w:t>
            </w:r>
          </w:p>
        </w:tc>
      </w:tr>
      <w:tr w:rsidR="00337315" w:rsidTr="00337315">
        <w:tc>
          <w:tcPr>
            <w:tcW w:w="2065" w:type="dxa"/>
          </w:tcPr>
          <w:p w:rsidR="00337315" w:rsidRDefault="00337315" w:rsidP="0084701F">
            <w:pPr>
              <w:pStyle w:val="ISSATableText"/>
              <w:spacing w:before="60" w:after="60" w:line="240" w:lineRule="auto"/>
            </w:pPr>
            <w:r>
              <w:t>Required Readings</w:t>
            </w:r>
          </w:p>
        </w:tc>
        <w:tc>
          <w:tcPr>
            <w:tcW w:w="6210" w:type="dxa"/>
          </w:tcPr>
          <w:p w:rsidR="00337315" w:rsidRDefault="00337315" w:rsidP="0084701F">
            <w:pPr>
              <w:pStyle w:val="ISSATableBullet"/>
              <w:numPr>
                <w:ilvl w:val="0"/>
                <w:numId w:val="41"/>
              </w:numPr>
              <w:tabs>
                <w:tab w:val="clear" w:pos="720"/>
                <w:tab w:val="num" w:pos="252"/>
              </w:tabs>
              <w:spacing w:before="60" w:after="60" w:line="240" w:lineRule="auto"/>
              <w:ind w:left="252" w:hanging="252"/>
            </w:pPr>
            <w:r w:rsidRPr="00486416">
              <w:t xml:space="preserve">Chapter </w:t>
            </w:r>
            <w:r>
              <w:t>14, “Mitigating Risk with a Disaster Recovery Plan”</w:t>
            </w:r>
          </w:p>
          <w:p w:rsidR="00337315" w:rsidRPr="00486416" w:rsidRDefault="00337315" w:rsidP="0084701F">
            <w:pPr>
              <w:pStyle w:val="ISSATableBullet"/>
              <w:numPr>
                <w:ilvl w:val="0"/>
                <w:numId w:val="41"/>
              </w:numPr>
              <w:tabs>
                <w:tab w:val="clear" w:pos="720"/>
                <w:tab w:val="num" w:pos="252"/>
              </w:tabs>
              <w:spacing w:before="60" w:after="60" w:line="240" w:lineRule="auto"/>
              <w:ind w:left="252" w:hanging="252"/>
            </w:pPr>
            <w:r w:rsidRPr="00486416">
              <w:t xml:space="preserve">Chapter </w:t>
            </w:r>
            <w:r>
              <w:t>15, “Mitigating Risk Assessment with a Computer Incident Response Team Plan”</w:t>
            </w:r>
          </w:p>
        </w:tc>
      </w:tr>
      <w:tr w:rsidR="00337315" w:rsidTr="00337315">
        <w:tc>
          <w:tcPr>
            <w:tcW w:w="2065" w:type="dxa"/>
          </w:tcPr>
          <w:p w:rsidR="00337315" w:rsidRPr="00486416" w:rsidRDefault="00337315" w:rsidP="0084701F">
            <w:pPr>
              <w:pStyle w:val="ISSATableText"/>
              <w:spacing w:before="60" w:after="60" w:line="240" w:lineRule="auto"/>
            </w:pPr>
            <w:r>
              <w:t>Lab</w:t>
            </w:r>
          </w:p>
        </w:tc>
        <w:tc>
          <w:tcPr>
            <w:tcW w:w="6210" w:type="dxa"/>
          </w:tcPr>
          <w:p w:rsidR="00337315" w:rsidRPr="00486416" w:rsidRDefault="00337315" w:rsidP="005707DA">
            <w:pPr>
              <w:pStyle w:val="ISSATableText"/>
              <w:spacing w:before="60" w:after="60" w:line="240" w:lineRule="auto"/>
              <w:rPr>
                <w:noProof/>
              </w:rPr>
            </w:pPr>
            <w:r>
              <w:rPr>
                <w:rStyle w:val="Hyperlink"/>
                <w:noProof/>
                <w:color w:val="auto"/>
                <w:u w:val="none"/>
              </w:rPr>
              <w:t>Developing Disaster Recovery Back</w:t>
            </w:r>
            <w:r w:rsidRPr="00A602D3">
              <w:rPr>
                <w:rStyle w:val="Hyperlink"/>
                <w:noProof/>
                <w:color w:val="auto"/>
                <w:u w:val="none"/>
              </w:rPr>
              <w:t>up Procedures and Recovery Instructions</w:t>
            </w:r>
          </w:p>
        </w:tc>
      </w:tr>
      <w:tr w:rsidR="00337315" w:rsidRPr="005707DA" w:rsidTr="00337315">
        <w:trPr>
          <w:trHeight w:val="449"/>
        </w:trPr>
        <w:tc>
          <w:tcPr>
            <w:tcW w:w="2065" w:type="dxa"/>
          </w:tcPr>
          <w:p w:rsidR="00337315" w:rsidRDefault="00337315" w:rsidP="0084701F">
            <w:pPr>
              <w:pStyle w:val="ISSATableText"/>
              <w:spacing w:before="60" w:after="60" w:line="240" w:lineRule="auto"/>
            </w:pPr>
            <w:r>
              <w:t>Lab</w:t>
            </w:r>
          </w:p>
        </w:tc>
        <w:tc>
          <w:tcPr>
            <w:tcW w:w="6210" w:type="dxa"/>
          </w:tcPr>
          <w:p w:rsidR="00337315" w:rsidRDefault="00337315" w:rsidP="005707DA">
            <w:pPr>
              <w:pStyle w:val="ISSATableText"/>
              <w:spacing w:before="60" w:after="60" w:line="240" w:lineRule="auto"/>
            </w:pPr>
            <w:r>
              <w:t>Creating</w:t>
            </w:r>
            <w:r w:rsidRPr="00A602D3">
              <w:t xml:space="preserve"> a CIRT Response Plan for a Typical IT Infrastructure</w:t>
            </w:r>
          </w:p>
        </w:tc>
      </w:tr>
      <w:tr w:rsidR="00337315" w:rsidTr="00337315">
        <w:tc>
          <w:tcPr>
            <w:tcW w:w="8275" w:type="dxa"/>
            <w:gridSpan w:val="2"/>
            <w:vAlign w:val="center"/>
          </w:tcPr>
          <w:p w:rsidR="00337315" w:rsidRPr="00486416" w:rsidRDefault="00337315" w:rsidP="0084701F">
            <w:pPr>
              <w:pStyle w:val="ISSATableLesson"/>
              <w:spacing w:before="60" w:after="60" w:line="240" w:lineRule="auto"/>
            </w:pPr>
            <w:r w:rsidRPr="009C7086">
              <w:t xml:space="preserve">Lesson </w:t>
            </w:r>
            <w:r>
              <w:t>8</w:t>
            </w:r>
            <w:r w:rsidRPr="009C7086">
              <w:t xml:space="preserve">: </w:t>
            </w:r>
            <w:r>
              <w:t>Course Review and Final Examination</w:t>
            </w:r>
          </w:p>
        </w:tc>
      </w:tr>
      <w:tr w:rsidR="00337315" w:rsidTr="00337315">
        <w:tc>
          <w:tcPr>
            <w:tcW w:w="2065" w:type="dxa"/>
          </w:tcPr>
          <w:p w:rsidR="00337315" w:rsidRDefault="00337315" w:rsidP="0084701F">
            <w:pPr>
              <w:pStyle w:val="ISSATableText"/>
              <w:spacing w:before="60" w:after="60" w:line="240" w:lineRule="auto"/>
            </w:pPr>
            <w:r>
              <w:t>Required Readings</w:t>
            </w:r>
          </w:p>
        </w:tc>
        <w:tc>
          <w:tcPr>
            <w:tcW w:w="6210" w:type="dxa"/>
          </w:tcPr>
          <w:p w:rsidR="00337315" w:rsidRPr="00486416" w:rsidRDefault="00337315" w:rsidP="0084701F">
            <w:pPr>
              <w:pStyle w:val="ISSATableText"/>
              <w:spacing w:before="60" w:after="60" w:line="240" w:lineRule="auto"/>
            </w:pPr>
            <w:r>
              <w:t>Review for Exam</w:t>
            </w:r>
          </w:p>
        </w:tc>
      </w:tr>
      <w:tr w:rsidR="00337315" w:rsidTr="00337315">
        <w:tc>
          <w:tcPr>
            <w:tcW w:w="2065" w:type="dxa"/>
          </w:tcPr>
          <w:p w:rsidR="00337315" w:rsidRPr="00486416" w:rsidRDefault="00337315" w:rsidP="0084701F">
            <w:pPr>
              <w:pStyle w:val="ISSATableText"/>
              <w:spacing w:before="60" w:after="60" w:line="240" w:lineRule="auto"/>
            </w:pPr>
            <w:r>
              <w:t>Project</w:t>
            </w:r>
          </w:p>
        </w:tc>
        <w:tc>
          <w:tcPr>
            <w:tcW w:w="6210" w:type="dxa"/>
          </w:tcPr>
          <w:p w:rsidR="00337315" w:rsidRPr="00486416" w:rsidRDefault="00337315" w:rsidP="0084701F">
            <w:pPr>
              <w:pStyle w:val="ISSATableText"/>
              <w:spacing w:before="60" w:after="60" w:line="240" w:lineRule="auto"/>
            </w:pPr>
            <w:r>
              <w:t xml:space="preserve">Final Submission: Risk Management Plan </w:t>
            </w:r>
          </w:p>
        </w:tc>
      </w:tr>
      <w:tr w:rsidR="00337315" w:rsidTr="00337315">
        <w:tc>
          <w:tcPr>
            <w:tcW w:w="2065" w:type="dxa"/>
          </w:tcPr>
          <w:p w:rsidR="00337315" w:rsidRPr="00486416" w:rsidRDefault="00337315" w:rsidP="0084701F">
            <w:pPr>
              <w:pStyle w:val="ISSATableText"/>
              <w:spacing w:before="60" w:after="60" w:line="240" w:lineRule="auto"/>
            </w:pPr>
            <w:r>
              <w:t>Exam</w:t>
            </w:r>
          </w:p>
        </w:tc>
        <w:tc>
          <w:tcPr>
            <w:tcW w:w="6210" w:type="dxa"/>
          </w:tcPr>
          <w:p w:rsidR="00337315" w:rsidRPr="00486416" w:rsidRDefault="00337315" w:rsidP="0084701F">
            <w:pPr>
              <w:pStyle w:val="ISSATableText"/>
              <w:spacing w:before="60" w:after="60" w:line="240" w:lineRule="auto"/>
            </w:pPr>
            <w:r>
              <w:t>Final Exam</w:t>
            </w:r>
          </w:p>
        </w:tc>
      </w:tr>
    </w:tbl>
    <w:p w:rsidR="00CF7BD0" w:rsidRDefault="00CF7BD0" w:rsidP="00B32FCA">
      <w:pPr>
        <w:spacing w:after="0" w:line="240" w:lineRule="auto"/>
        <w:rPr>
          <w:rFonts w:cs="Arial"/>
          <w:bCs/>
          <w:iCs/>
          <w:szCs w:val="20"/>
        </w:rPr>
      </w:pPr>
    </w:p>
    <w:p w:rsidR="00CF7BD0" w:rsidRPr="00B32FCA" w:rsidRDefault="00CF7BD0" w:rsidP="00B32FCA">
      <w:pPr>
        <w:spacing w:after="0" w:line="240" w:lineRule="auto"/>
        <w:rPr>
          <w:rFonts w:cs="Arial"/>
          <w:bCs/>
          <w:iCs/>
          <w:szCs w:val="20"/>
        </w:rPr>
      </w:pPr>
    </w:p>
    <w:p w:rsidR="00B32FCA" w:rsidRPr="00B32FCA" w:rsidRDefault="00B32FCA" w:rsidP="00B32FCA">
      <w:pPr>
        <w:pBdr>
          <w:bottom w:val="single" w:sz="12" w:space="1" w:color="auto"/>
        </w:pBdr>
        <w:outlineLvl w:val="0"/>
        <w:rPr>
          <w:rFonts w:cs="Arial"/>
          <w:szCs w:val="20"/>
        </w:rPr>
        <w:sectPr w:rsidR="00B32FCA" w:rsidRPr="00B32FCA" w:rsidSect="00E926B4">
          <w:type w:val="continuous"/>
          <w:pgSz w:w="12240" w:h="15840" w:code="1"/>
          <w:pgMar w:top="1440" w:right="1440" w:bottom="1080" w:left="1440" w:header="720" w:footer="720" w:gutter="0"/>
          <w:cols w:space="720"/>
          <w:titlePg/>
          <w:docGrid w:linePitch="360"/>
        </w:sectPr>
      </w:pPr>
    </w:p>
    <w:p w:rsidR="00B32FCA" w:rsidRPr="00D15DCF" w:rsidRDefault="00B32FCA" w:rsidP="00D15DCF">
      <w:pPr>
        <w:spacing w:after="0" w:line="240" w:lineRule="auto"/>
        <w:rPr>
          <w:rFonts w:cs="Arial"/>
          <w:b/>
          <w:bCs/>
          <w:color w:val="005F91"/>
          <w:sz w:val="32"/>
          <w:szCs w:val="32"/>
        </w:rPr>
      </w:pPr>
      <w:r w:rsidRPr="00B32FCA">
        <w:rPr>
          <w:rFonts w:cs="Arial"/>
          <w:b/>
          <w:bCs/>
          <w:color w:val="005F91"/>
          <w:sz w:val="32"/>
          <w:szCs w:val="32"/>
        </w:rPr>
        <w:lastRenderedPageBreak/>
        <w:t>Evaluation and Grading</w:t>
      </w:r>
    </w:p>
    <w:p w:rsidR="00B32FCA" w:rsidRPr="00B32FCA" w:rsidRDefault="00B32FCA" w:rsidP="00B32FCA">
      <w:pPr>
        <w:keepNext/>
        <w:keepLines/>
        <w:spacing w:before="200" w:after="0"/>
        <w:outlineLvl w:val="1"/>
        <w:rPr>
          <w:rFonts w:cs="Arial"/>
          <w:b/>
          <w:color w:val="0072DA"/>
          <w:sz w:val="24"/>
          <w:u w:val="single"/>
        </w:rPr>
      </w:pPr>
      <w:r w:rsidRPr="00B32FCA">
        <w:rPr>
          <w:rFonts w:cs="Arial"/>
          <w:b/>
          <w:color w:val="0072DA"/>
          <w:sz w:val="24"/>
        </w:rPr>
        <w:t>Evaluation Criteria</w:t>
      </w:r>
    </w:p>
    <w:p w:rsidR="00B32FCA" w:rsidRPr="00B32FCA" w:rsidRDefault="00B32FCA" w:rsidP="00B32FCA">
      <w:pPr>
        <w:rPr>
          <w:rFonts w:cs="Arial"/>
          <w:szCs w:val="22"/>
        </w:rPr>
      </w:pPr>
      <w:r w:rsidRPr="00B32FCA">
        <w:rPr>
          <w:rFonts w:cs="Arial"/>
          <w:szCs w:val="22"/>
        </w:rPr>
        <w:t>The graded assignments will be evaluated using the following weighted categories:</w:t>
      </w:r>
    </w:p>
    <w:tbl>
      <w:tblPr>
        <w:tblW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75"/>
        <w:gridCol w:w="1440"/>
      </w:tblGrid>
      <w:tr w:rsidR="00CF7BD0" w:rsidRPr="005B1DD7" w:rsidTr="006755FC">
        <w:trPr>
          <w:trHeight w:val="362"/>
          <w:tblHeader/>
        </w:trPr>
        <w:tc>
          <w:tcPr>
            <w:tcW w:w="3075" w:type="dxa"/>
            <w:shd w:val="clear" w:color="auto" w:fill="004B91"/>
            <w:tcMar>
              <w:top w:w="15" w:type="dxa"/>
              <w:left w:w="15" w:type="dxa"/>
              <w:bottom w:w="0" w:type="dxa"/>
              <w:right w:w="15" w:type="dxa"/>
            </w:tcMar>
            <w:vAlign w:val="center"/>
          </w:tcPr>
          <w:p w:rsidR="00CF7BD0" w:rsidRPr="00DB22ED" w:rsidRDefault="00CF7BD0" w:rsidP="006755FC">
            <w:pPr>
              <w:pStyle w:val="TableHeading"/>
              <w:rPr>
                <w:rFonts w:eastAsia="Arial Unicode MS"/>
              </w:rPr>
            </w:pPr>
            <w:r w:rsidRPr="00DB22ED">
              <w:t>Category</w:t>
            </w:r>
          </w:p>
        </w:tc>
        <w:tc>
          <w:tcPr>
            <w:tcW w:w="1440" w:type="dxa"/>
            <w:shd w:val="clear" w:color="auto" w:fill="004B91"/>
            <w:tcMar>
              <w:top w:w="15" w:type="dxa"/>
              <w:left w:w="15" w:type="dxa"/>
              <w:bottom w:w="0" w:type="dxa"/>
              <w:right w:w="15" w:type="dxa"/>
            </w:tcMar>
            <w:vAlign w:val="center"/>
          </w:tcPr>
          <w:p w:rsidR="00CF7BD0" w:rsidRPr="00DB22ED" w:rsidRDefault="00CF7BD0" w:rsidP="006755FC">
            <w:pPr>
              <w:pStyle w:val="TableHeading"/>
              <w:rPr>
                <w:rFonts w:eastAsia="Arial Unicode MS"/>
              </w:rPr>
            </w:pPr>
            <w:r w:rsidRPr="00DB22ED">
              <w:t>Weight</w:t>
            </w:r>
          </w:p>
        </w:tc>
      </w:tr>
      <w:tr w:rsidR="00CF7BD0" w:rsidRPr="005B1DD7" w:rsidTr="006755FC">
        <w:trPr>
          <w:trHeight w:val="255"/>
        </w:trPr>
        <w:tc>
          <w:tcPr>
            <w:tcW w:w="3075" w:type="dxa"/>
            <w:tcMar>
              <w:top w:w="15" w:type="dxa"/>
              <w:left w:w="15" w:type="dxa"/>
              <w:bottom w:w="0" w:type="dxa"/>
              <w:right w:w="15" w:type="dxa"/>
            </w:tcMar>
          </w:tcPr>
          <w:p w:rsidR="00CF7BD0" w:rsidRDefault="00CF7BD0" w:rsidP="006755FC">
            <w:pPr>
              <w:pStyle w:val="ISSATableLastBullet"/>
              <w:spacing w:after="0"/>
            </w:pPr>
            <w:r>
              <w:t>Lab</w:t>
            </w:r>
          </w:p>
        </w:tc>
        <w:tc>
          <w:tcPr>
            <w:tcW w:w="1440" w:type="dxa"/>
            <w:tcMar>
              <w:top w:w="15" w:type="dxa"/>
              <w:left w:w="15" w:type="dxa"/>
              <w:bottom w:w="0" w:type="dxa"/>
              <w:right w:w="15" w:type="dxa"/>
            </w:tcMar>
          </w:tcPr>
          <w:p w:rsidR="00CF7BD0" w:rsidRPr="005B1DD7" w:rsidRDefault="00CF7BD0" w:rsidP="006755FC">
            <w:pPr>
              <w:pStyle w:val="ISSATableLastBullet"/>
              <w:spacing w:after="0"/>
            </w:pPr>
            <w:r>
              <w:t>20</w:t>
            </w:r>
          </w:p>
        </w:tc>
      </w:tr>
      <w:tr w:rsidR="00CF7BD0" w:rsidRPr="005B1DD7" w:rsidTr="006755FC">
        <w:trPr>
          <w:trHeight w:val="255"/>
        </w:trPr>
        <w:tc>
          <w:tcPr>
            <w:tcW w:w="3075" w:type="dxa"/>
            <w:tcMar>
              <w:top w:w="15" w:type="dxa"/>
              <w:left w:w="15" w:type="dxa"/>
              <w:bottom w:w="0" w:type="dxa"/>
              <w:right w:w="15" w:type="dxa"/>
            </w:tcMar>
          </w:tcPr>
          <w:p w:rsidR="00CF7BD0" w:rsidRPr="005B1DD7" w:rsidRDefault="00CF7BD0" w:rsidP="006755FC">
            <w:pPr>
              <w:pStyle w:val="ISSATableLastBullet"/>
              <w:spacing w:after="0"/>
            </w:pPr>
            <w:r>
              <w:t>Project</w:t>
            </w:r>
          </w:p>
        </w:tc>
        <w:tc>
          <w:tcPr>
            <w:tcW w:w="1440" w:type="dxa"/>
            <w:tcMar>
              <w:top w:w="15" w:type="dxa"/>
              <w:left w:w="15" w:type="dxa"/>
              <w:bottom w:w="0" w:type="dxa"/>
              <w:right w:w="15" w:type="dxa"/>
            </w:tcMar>
          </w:tcPr>
          <w:p w:rsidR="00CF7BD0" w:rsidRPr="005B1DD7" w:rsidRDefault="00337315" w:rsidP="006755FC">
            <w:pPr>
              <w:pStyle w:val="ISSATableLastBullet"/>
              <w:spacing w:after="0"/>
            </w:pPr>
            <w:r>
              <w:t>24</w:t>
            </w:r>
          </w:p>
        </w:tc>
      </w:tr>
      <w:tr w:rsidR="00CF7BD0" w:rsidRPr="005B1DD7" w:rsidTr="006755FC">
        <w:trPr>
          <w:trHeight w:val="255"/>
        </w:trPr>
        <w:tc>
          <w:tcPr>
            <w:tcW w:w="3075" w:type="dxa"/>
            <w:tcMar>
              <w:top w:w="15" w:type="dxa"/>
              <w:left w:w="15" w:type="dxa"/>
              <w:bottom w:w="0" w:type="dxa"/>
              <w:right w:w="15" w:type="dxa"/>
            </w:tcMar>
          </w:tcPr>
          <w:p w:rsidR="00CF7BD0" w:rsidRDefault="00337315" w:rsidP="006755FC">
            <w:pPr>
              <w:pStyle w:val="ISSATableLastBullet"/>
              <w:spacing w:after="0"/>
            </w:pPr>
            <w:r>
              <w:t>Midterm Exam</w:t>
            </w:r>
          </w:p>
        </w:tc>
        <w:tc>
          <w:tcPr>
            <w:tcW w:w="1440" w:type="dxa"/>
            <w:tcMar>
              <w:top w:w="15" w:type="dxa"/>
              <w:left w:w="15" w:type="dxa"/>
              <w:bottom w:w="0" w:type="dxa"/>
              <w:right w:w="15" w:type="dxa"/>
            </w:tcMar>
          </w:tcPr>
          <w:p w:rsidR="00CF7BD0" w:rsidRPr="005B1DD7" w:rsidRDefault="00337315" w:rsidP="006755FC">
            <w:pPr>
              <w:pStyle w:val="ISSATableLastBullet"/>
              <w:spacing w:after="0"/>
            </w:pPr>
            <w:r>
              <w:t>28</w:t>
            </w:r>
          </w:p>
        </w:tc>
      </w:tr>
      <w:tr w:rsidR="00CF7BD0" w:rsidRPr="005B1DD7" w:rsidTr="006755FC">
        <w:trPr>
          <w:trHeight w:val="255"/>
        </w:trPr>
        <w:tc>
          <w:tcPr>
            <w:tcW w:w="3075" w:type="dxa"/>
            <w:tcMar>
              <w:top w:w="15" w:type="dxa"/>
              <w:left w:w="15" w:type="dxa"/>
              <w:bottom w:w="0" w:type="dxa"/>
              <w:right w:w="15" w:type="dxa"/>
            </w:tcMar>
          </w:tcPr>
          <w:p w:rsidR="00CF7BD0" w:rsidRDefault="00337315" w:rsidP="006755FC">
            <w:pPr>
              <w:pStyle w:val="ISSATableLastBullet"/>
              <w:spacing w:after="0"/>
            </w:pPr>
            <w:r>
              <w:t xml:space="preserve">Final </w:t>
            </w:r>
            <w:r w:rsidR="00CF7BD0">
              <w:t>Exam</w:t>
            </w:r>
          </w:p>
        </w:tc>
        <w:tc>
          <w:tcPr>
            <w:tcW w:w="1440" w:type="dxa"/>
            <w:tcMar>
              <w:top w:w="15" w:type="dxa"/>
              <w:left w:w="15" w:type="dxa"/>
              <w:bottom w:w="0" w:type="dxa"/>
              <w:right w:w="15" w:type="dxa"/>
            </w:tcMar>
          </w:tcPr>
          <w:p w:rsidR="00CF7BD0" w:rsidRPr="005B1DD7" w:rsidRDefault="00CF7BD0" w:rsidP="006755FC">
            <w:pPr>
              <w:pStyle w:val="ISSATableLastBullet"/>
              <w:spacing w:after="0"/>
            </w:pPr>
            <w:r>
              <w:t>20</w:t>
            </w:r>
          </w:p>
        </w:tc>
      </w:tr>
      <w:tr w:rsidR="00CF7BD0" w:rsidRPr="005B1DD7" w:rsidTr="006755FC">
        <w:trPr>
          <w:trHeight w:val="425"/>
        </w:trPr>
        <w:tc>
          <w:tcPr>
            <w:tcW w:w="3075" w:type="dxa"/>
            <w:shd w:val="clear" w:color="auto" w:fill="auto"/>
            <w:tcMar>
              <w:top w:w="15" w:type="dxa"/>
              <w:left w:w="15" w:type="dxa"/>
              <w:bottom w:w="0" w:type="dxa"/>
              <w:right w:w="15" w:type="dxa"/>
            </w:tcMar>
            <w:vAlign w:val="center"/>
          </w:tcPr>
          <w:p w:rsidR="00CF7BD0" w:rsidRPr="005E304F" w:rsidRDefault="00CF7BD0" w:rsidP="006755FC">
            <w:pPr>
              <w:pStyle w:val="ISSATableLastBullet"/>
              <w:spacing w:after="0"/>
            </w:pPr>
            <w:r w:rsidRPr="005E304F">
              <w:t>TOTAL</w:t>
            </w:r>
          </w:p>
        </w:tc>
        <w:tc>
          <w:tcPr>
            <w:tcW w:w="1440" w:type="dxa"/>
            <w:shd w:val="clear" w:color="auto" w:fill="auto"/>
            <w:tcMar>
              <w:top w:w="15" w:type="dxa"/>
              <w:left w:w="15" w:type="dxa"/>
              <w:bottom w:w="0" w:type="dxa"/>
              <w:right w:w="15" w:type="dxa"/>
            </w:tcMar>
            <w:vAlign w:val="center"/>
          </w:tcPr>
          <w:p w:rsidR="00CF7BD0" w:rsidRPr="005E304F" w:rsidRDefault="00CF7BD0" w:rsidP="006755FC">
            <w:pPr>
              <w:pStyle w:val="ISSATableLastBullet"/>
              <w:spacing w:after="0"/>
            </w:pPr>
            <w:r w:rsidRPr="005E304F">
              <w:t>100%</w:t>
            </w:r>
          </w:p>
        </w:tc>
      </w:tr>
    </w:tbl>
    <w:p w:rsidR="00CF7BD0" w:rsidRPr="00B32FCA" w:rsidRDefault="00CF7BD0" w:rsidP="00B32FCA">
      <w:pPr>
        <w:rPr>
          <w:rFonts w:cs="Arial"/>
          <w:bCs/>
          <w:szCs w:val="20"/>
        </w:rPr>
      </w:pPr>
    </w:p>
    <w:p w:rsidR="00E06418" w:rsidRPr="00E06418" w:rsidRDefault="00E06418" w:rsidP="00E06418">
      <w:pPr>
        <w:keepNext/>
        <w:keepLines/>
        <w:spacing w:before="200" w:after="0"/>
        <w:outlineLvl w:val="1"/>
        <w:rPr>
          <w:rFonts w:eastAsia="MS Gothic" w:cs="Arial"/>
          <w:b/>
          <w:color w:val="0072DA"/>
          <w:sz w:val="24"/>
          <w:u w:val="single"/>
        </w:rPr>
      </w:pPr>
      <w:r w:rsidRPr="00E06418">
        <w:rPr>
          <w:rFonts w:eastAsia="MS Gothic" w:cs="Arial"/>
          <w:b/>
          <w:color w:val="0072DA"/>
          <w:sz w:val="24"/>
        </w:rPr>
        <w:t>Grade Conversion</w:t>
      </w:r>
    </w:p>
    <w:p w:rsidR="00E06418" w:rsidRPr="00E06418" w:rsidRDefault="00E06418" w:rsidP="00E06418">
      <w:pPr>
        <w:spacing w:after="0"/>
        <w:rPr>
          <w:rFonts w:cs="Arial"/>
          <w:bCs/>
          <w:szCs w:val="20"/>
        </w:rPr>
      </w:pPr>
      <w:r w:rsidRPr="00E06418">
        <w:rPr>
          <w:rFonts w:cs="Arial"/>
          <w:bCs/>
          <w:szCs w:val="20"/>
        </w:rPr>
        <w:t>The final grades will be calculated from the percentages earned in the course, as follows:</w:t>
      </w:r>
    </w:p>
    <w:p w:rsidR="00E06418" w:rsidRPr="00E06418" w:rsidRDefault="00E06418" w:rsidP="00E06418">
      <w:pPr>
        <w:spacing w:after="0"/>
        <w:rPr>
          <w:rFonts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070"/>
      </w:tblGrid>
      <w:tr w:rsidR="00E06418" w:rsidRPr="00E06418" w:rsidTr="008A45ED">
        <w:trPr>
          <w:trHeight w:val="332"/>
        </w:trPr>
        <w:tc>
          <w:tcPr>
            <w:tcW w:w="1098" w:type="dxa"/>
            <w:tcBorders>
              <w:bottom w:val="single" w:sz="12" w:space="0" w:color="auto"/>
            </w:tcBorders>
            <w:shd w:val="clear" w:color="auto" w:fill="004B91"/>
            <w:vAlign w:val="center"/>
          </w:tcPr>
          <w:p w:rsidR="00E06418" w:rsidRPr="00E06418" w:rsidRDefault="00E06418" w:rsidP="00E06418">
            <w:pPr>
              <w:spacing w:after="0" w:line="240" w:lineRule="auto"/>
              <w:jc w:val="center"/>
              <w:rPr>
                <w:rFonts w:cs="Arial"/>
                <w:b/>
                <w:sz w:val="16"/>
                <w:szCs w:val="16"/>
              </w:rPr>
            </w:pPr>
            <w:r w:rsidRPr="00E06418">
              <w:rPr>
                <w:rFonts w:cs="Arial"/>
                <w:b/>
                <w:sz w:val="16"/>
                <w:szCs w:val="16"/>
              </w:rPr>
              <w:t>Grade</w:t>
            </w:r>
          </w:p>
        </w:tc>
        <w:tc>
          <w:tcPr>
            <w:tcW w:w="2070" w:type="dxa"/>
            <w:tcBorders>
              <w:bottom w:val="single" w:sz="12" w:space="0" w:color="auto"/>
            </w:tcBorders>
            <w:shd w:val="clear" w:color="auto" w:fill="004B91"/>
            <w:vAlign w:val="center"/>
          </w:tcPr>
          <w:p w:rsidR="00E06418" w:rsidRPr="00E06418" w:rsidRDefault="00E06418" w:rsidP="00E06418">
            <w:pPr>
              <w:spacing w:after="0" w:line="240" w:lineRule="auto"/>
              <w:jc w:val="center"/>
              <w:rPr>
                <w:rFonts w:cs="Arial"/>
                <w:b/>
                <w:sz w:val="16"/>
                <w:szCs w:val="16"/>
              </w:rPr>
            </w:pPr>
            <w:r w:rsidRPr="00E06418">
              <w:rPr>
                <w:rFonts w:cs="Arial"/>
                <w:b/>
                <w:sz w:val="16"/>
                <w:szCs w:val="16"/>
              </w:rPr>
              <w:t>Percentage</w:t>
            </w:r>
          </w:p>
        </w:tc>
      </w:tr>
      <w:tr w:rsidR="00E06418" w:rsidRPr="00E06418" w:rsidTr="008A45ED">
        <w:tc>
          <w:tcPr>
            <w:tcW w:w="1098" w:type="dxa"/>
            <w:tcBorders>
              <w:top w:val="single" w:sz="12" w:space="0" w:color="auto"/>
            </w:tcBorders>
          </w:tcPr>
          <w:p w:rsidR="00E06418" w:rsidRPr="00E06418" w:rsidRDefault="00E06418" w:rsidP="00E06418">
            <w:pPr>
              <w:spacing w:after="0" w:line="240" w:lineRule="auto"/>
              <w:rPr>
                <w:rFonts w:cs="Arial"/>
                <w:szCs w:val="20"/>
              </w:rPr>
            </w:pPr>
            <w:r w:rsidRPr="00E06418">
              <w:rPr>
                <w:rFonts w:cs="Arial"/>
                <w:szCs w:val="20"/>
              </w:rPr>
              <w:t>A</w:t>
            </w:r>
          </w:p>
        </w:tc>
        <w:tc>
          <w:tcPr>
            <w:tcW w:w="2070" w:type="dxa"/>
            <w:tcBorders>
              <w:top w:val="single" w:sz="12" w:space="0" w:color="auto"/>
            </w:tcBorders>
          </w:tcPr>
          <w:p w:rsidR="00E06418" w:rsidRPr="00E06418" w:rsidRDefault="00E06418" w:rsidP="00E06418">
            <w:pPr>
              <w:spacing w:after="0" w:line="240" w:lineRule="auto"/>
              <w:rPr>
                <w:rFonts w:cs="Arial"/>
                <w:szCs w:val="20"/>
              </w:rPr>
            </w:pPr>
            <w:r w:rsidRPr="00E06418">
              <w:rPr>
                <w:rFonts w:cs="Arial"/>
                <w:szCs w:val="20"/>
              </w:rPr>
              <w:t>89.5–100%</w:t>
            </w:r>
          </w:p>
        </w:tc>
      </w:tr>
      <w:tr w:rsidR="00E06418" w:rsidRPr="00E06418" w:rsidTr="008A45ED">
        <w:tc>
          <w:tcPr>
            <w:tcW w:w="1098" w:type="dxa"/>
          </w:tcPr>
          <w:p w:rsidR="00E06418" w:rsidRPr="00E06418" w:rsidRDefault="00E06418" w:rsidP="00E06418">
            <w:pPr>
              <w:spacing w:after="0" w:line="240" w:lineRule="auto"/>
              <w:rPr>
                <w:rFonts w:cs="Arial"/>
                <w:szCs w:val="20"/>
              </w:rPr>
            </w:pPr>
            <w:r w:rsidRPr="00E06418">
              <w:rPr>
                <w:rFonts w:cs="Arial"/>
                <w:szCs w:val="20"/>
              </w:rPr>
              <w:t>B</w:t>
            </w:r>
          </w:p>
        </w:tc>
        <w:tc>
          <w:tcPr>
            <w:tcW w:w="2070" w:type="dxa"/>
          </w:tcPr>
          <w:p w:rsidR="00E06418" w:rsidRPr="00E06418" w:rsidRDefault="00E06418" w:rsidP="00E06418">
            <w:pPr>
              <w:spacing w:after="0" w:line="240" w:lineRule="auto"/>
              <w:rPr>
                <w:rFonts w:cs="Arial"/>
                <w:szCs w:val="20"/>
              </w:rPr>
            </w:pPr>
            <w:r w:rsidRPr="00E06418">
              <w:rPr>
                <w:rFonts w:cs="Arial"/>
                <w:szCs w:val="20"/>
              </w:rPr>
              <w:t>79.5–89.4%</w:t>
            </w:r>
          </w:p>
        </w:tc>
      </w:tr>
      <w:tr w:rsidR="00E06418" w:rsidRPr="00E06418" w:rsidTr="008A45ED">
        <w:tc>
          <w:tcPr>
            <w:tcW w:w="1098" w:type="dxa"/>
          </w:tcPr>
          <w:p w:rsidR="00E06418" w:rsidRPr="00E06418" w:rsidRDefault="00E06418" w:rsidP="00E06418">
            <w:pPr>
              <w:spacing w:after="0" w:line="240" w:lineRule="auto"/>
              <w:rPr>
                <w:rFonts w:cs="Arial"/>
                <w:szCs w:val="20"/>
              </w:rPr>
            </w:pPr>
            <w:r w:rsidRPr="00E06418">
              <w:rPr>
                <w:rFonts w:cs="Arial"/>
                <w:szCs w:val="20"/>
              </w:rPr>
              <w:t>C</w:t>
            </w:r>
          </w:p>
        </w:tc>
        <w:tc>
          <w:tcPr>
            <w:tcW w:w="2070" w:type="dxa"/>
          </w:tcPr>
          <w:p w:rsidR="00E06418" w:rsidRPr="00E06418" w:rsidRDefault="00E06418" w:rsidP="00E06418">
            <w:pPr>
              <w:spacing w:after="0" w:line="240" w:lineRule="auto"/>
              <w:rPr>
                <w:rFonts w:cs="Arial"/>
                <w:szCs w:val="20"/>
              </w:rPr>
            </w:pPr>
            <w:r w:rsidRPr="00E06418">
              <w:rPr>
                <w:rFonts w:cs="Arial"/>
                <w:szCs w:val="20"/>
              </w:rPr>
              <w:t>69.5–79.4%</w:t>
            </w:r>
          </w:p>
        </w:tc>
      </w:tr>
      <w:tr w:rsidR="00E06418" w:rsidRPr="00E06418" w:rsidTr="008A45ED">
        <w:tc>
          <w:tcPr>
            <w:tcW w:w="1098" w:type="dxa"/>
          </w:tcPr>
          <w:p w:rsidR="00E06418" w:rsidRPr="00E06418" w:rsidRDefault="00E06418" w:rsidP="00E06418">
            <w:pPr>
              <w:spacing w:after="0" w:line="240" w:lineRule="auto"/>
              <w:rPr>
                <w:rFonts w:cs="Arial"/>
                <w:szCs w:val="20"/>
              </w:rPr>
            </w:pPr>
            <w:r w:rsidRPr="00E06418">
              <w:rPr>
                <w:rFonts w:cs="Arial"/>
                <w:szCs w:val="20"/>
              </w:rPr>
              <w:t>D</w:t>
            </w:r>
          </w:p>
        </w:tc>
        <w:tc>
          <w:tcPr>
            <w:tcW w:w="2070" w:type="dxa"/>
          </w:tcPr>
          <w:p w:rsidR="00E06418" w:rsidRPr="00E06418" w:rsidRDefault="00E06418" w:rsidP="00E06418">
            <w:pPr>
              <w:spacing w:after="0" w:line="240" w:lineRule="auto"/>
              <w:rPr>
                <w:rFonts w:cs="Arial"/>
                <w:szCs w:val="20"/>
              </w:rPr>
            </w:pPr>
            <w:r w:rsidRPr="00E06418">
              <w:rPr>
                <w:rFonts w:cs="Arial"/>
                <w:szCs w:val="20"/>
              </w:rPr>
              <w:t>59.5–69.4%</w:t>
            </w:r>
          </w:p>
        </w:tc>
      </w:tr>
      <w:tr w:rsidR="00E06418" w:rsidRPr="00E06418" w:rsidTr="008A45ED">
        <w:tc>
          <w:tcPr>
            <w:tcW w:w="1098" w:type="dxa"/>
          </w:tcPr>
          <w:p w:rsidR="00E06418" w:rsidRPr="00E06418" w:rsidRDefault="00E06418" w:rsidP="00E06418">
            <w:pPr>
              <w:spacing w:after="0" w:line="240" w:lineRule="auto"/>
              <w:rPr>
                <w:rFonts w:cs="Arial"/>
                <w:szCs w:val="20"/>
              </w:rPr>
            </w:pPr>
            <w:r w:rsidRPr="00E06418">
              <w:rPr>
                <w:rFonts w:cs="Arial"/>
                <w:szCs w:val="20"/>
              </w:rPr>
              <w:t>F</w:t>
            </w:r>
          </w:p>
        </w:tc>
        <w:tc>
          <w:tcPr>
            <w:tcW w:w="2070" w:type="dxa"/>
          </w:tcPr>
          <w:p w:rsidR="00E06418" w:rsidRPr="00E06418" w:rsidRDefault="00E06418" w:rsidP="00E06418">
            <w:pPr>
              <w:spacing w:after="0" w:line="240" w:lineRule="auto"/>
              <w:rPr>
                <w:rFonts w:cs="Arial"/>
                <w:szCs w:val="20"/>
              </w:rPr>
            </w:pPr>
            <w:r w:rsidRPr="00E06418">
              <w:rPr>
                <w:rFonts w:cs="Arial"/>
                <w:szCs w:val="20"/>
              </w:rPr>
              <w:t>&lt;59.5%</w:t>
            </w:r>
          </w:p>
        </w:tc>
      </w:tr>
    </w:tbl>
    <w:p w:rsidR="00E06418" w:rsidRPr="00E06418" w:rsidRDefault="00E06418" w:rsidP="00E06418">
      <w:pPr>
        <w:spacing w:after="0"/>
        <w:rPr>
          <w:rFonts w:cs="Arial"/>
          <w:bCs/>
          <w:szCs w:val="20"/>
        </w:rPr>
      </w:pPr>
    </w:p>
    <w:p w:rsidR="00E06418" w:rsidRPr="00E06418" w:rsidRDefault="00E06418" w:rsidP="00E06418">
      <w:pPr>
        <w:keepNext/>
        <w:pBdr>
          <w:bottom w:val="single" w:sz="4" w:space="1" w:color="auto"/>
        </w:pBdr>
        <w:spacing w:before="240" w:after="60" w:line="240" w:lineRule="auto"/>
        <w:outlineLvl w:val="0"/>
        <w:rPr>
          <w:rFonts w:eastAsia="MS Gothic" w:cs="Arial"/>
          <w:b/>
          <w:bCs/>
          <w:color w:val="365F91"/>
          <w:sz w:val="32"/>
          <w:szCs w:val="32"/>
        </w:rPr>
      </w:pPr>
      <w:r w:rsidRPr="00E06418">
        <w:rPr>
          <w:rFonts w:eastAsia="MS Gothic" w:cs="Arial"/>
          <w:b/>
          <w:bCs/>
          <w:color w:val="365F91"/>
          <w:sz w:val="32"/>
          <w:szCs w:val="32"/>
        </w:rPr>
        <w:t>Course Expectations</w:t>
      </w:r>
    </w:p>
    <w:p w:rsidR="00E06418" w:rsidRPr="00E06418" w:rsidRDefault="00E06418" w:rsidP="00E06418">
      <w:pPr>
        <w:spacing w:after="0" w:line="240" w:lineRule="auto"/>
        <w:rPr>
          <w:highlight w:val="lightGray"/>
        </w:rPr>
      </w:pPr>
    </w:p>
    <w:p w:rsidR="00E06418" w:rsidRPr="00E06418" w:rsidRDefault="00E06418" w:rsidP="00E06418">
      <w:pPr>
        <w:keepNext/>
        <w:keepLines/>
        <w:spacing w:before="200" w:after="0"/>
        <w:outlineLvl w:val="1"/>
        <w:rPr>
          <w:rFonts w:eastAsia="MS Gothic" w:cs="Arial"/>
          <w:b/>
          <w:color w:val="0072DA"/>
          <w:sz w:val="24"/>
        </w:rPr>
      </w:pPr>
      <w:r w:rsidRPr="00E06418">
        <w:rPr>
          <w:rFonts w:eastAsia="MS Gothic" w:cs="Arial"/>
          <w:b/>
          <w:color w:val="0072DA"/>
          <w:sz w:val="24"/>
        </w:rPr>
        <w:t>Class Participation</w:t>
      </w:r>
    </w:p>
    <w:p w:rsidR="00E06418" w:rsidRPr="00E06418" w:rsidRDefault="00E06418" w:rsidP="00E06418">
      <w:pPr>
        <w:spacing w:after="0" w:line="240" w:lineRule="auto"/>
      </w:pPr>
      <w:r w:rsidRPr="00E06418">
        <w:t>Students are expected to:</w:t>
      </w:r>
    </w:p>
    <w:p w:rsidR="00E06418" w:rsidRPr="00E06418" w:rsidRDefault="00E06418" w:rsidP="00E06418">
      <w:pPr>
        <w:spacing w:after="0" w:line="240" w:lineRule="auto"/>
        <w:ind w:left="360" w:hanging="360"/>
      </w:pPr>
      <w:r w:rsidRPr="00E06418">
        <w:tab/>
        <w:t>1.</w:t>
      </w:r>
      <w:r w:rsidRPr="00E06418">
        <w:tab/>
        <w:t xml:space="preserve">Be fully prepared for each class session by studying the assigned reading material </w:t>
      </w:r>
      <w:r w:rsidRPr="00E06418">
        <w:tab/>
      </w:r>
      <w:r w:rsidRPr="00E06418">
        <w:tab/>
        <w:t>and preparation of the material assigned.</w:t>
      </w:r>
    </w:p>
    <w:p w:rsidR="00E06418" w:rsidRPr="00E06418" w:rsidRDefault="00E06418" w:rsidP="00E06418">
      <w:pPr>
        <w:spacing w:after="0" w:line="240" w:lineRule="auto"/>
        <w:ind w:left="360" w:hanging="360"/>
      </w:pPr>
      <w:r w:rsidRPr="00E06418">
        <w:tab/>
        <w:t>2.</w:t>
      </w:r>
      <w:r w:rsidRPr="00E06418">
        <w:tab/>
        <w:t>Participate in group discussions, assignments, and panel discussions.</w:t>
      </w:r>
    </w:p>
    <w:p w:rsidR="00E06418" w:rsidRPr="00E06418" w:rsidRDefault="00E06418" w:rsidP="00E06418">
      <w:pPr>
        <w:spacing w:after="0" w:line="240" w:lineRule="auto"/>
        <w:ind w:left="360" w:hanging="360"/>
      </w:pPr>
      <w:r w:rsidRPr="00E06418">
        <w:tab/>
        <w:t>3.</w:t>
      </w:r>
      <w:r w:rsidRPr="00E06418">
        <w:tab/>
        <w:t>Complete specific assignments when due and in a professional manner.</w:t>
      </w:r>
    </w:p>
    <w:p w:rsidR="00E06418" w:rsidRDefault="00E06418" w:rsidP="00E06418">
      <w:pPr>
        <w:spacing w:after="0" w:line="240" w:lineRule="auto"/>
        <w:ind w:left="360" w:hanging="360"/>
      </w:pPr>
      <w:r w:rsidRPr="00E06418">
        <w:tab/>
        <w:t>4.</w:t>
      </w:r>
      <w:r w:rsidRPr="00E06418">
        <w:tab/>
        <w:t>Take exams when specified on the attached course schedule</w:t>
      </w:r>
    </w:p>
    <w:p w:rsidR="00F50B2D" w:rsidRDefault="00F50B2D" w:rsidP="00E06418">
      <w:pPr>
        <w:spacing w:after="0" w:line="240" w:lineRule="auto"/>
        <w:ind w:left="360" w:hanging="360"/>
      </w:pPr>
    </w:p>
    <w:p w:rsidR="00F50B2D" w:rsidRPr="00F50B2D" w:rsidRDefault="00F50B2D" w:rsidP="00F50B2D">
      <w:pPr>
        <w:keepNext/>
        <w:keepLines/>
        <w:spacing w:before="200" w:after="0"/>
        <w:outlineLvl w:val="1"/>
        <w:rPr>
          <w:rFonts w:eastAsia="MS Gothic" w:cs="Arial"/>
          <w:b/>
          <w:color w:val="0072DA"/>
          <w:sz w:val="24"/>
        </w:rPr>
      </w:pPr>
      <w:r w:rsidRPr="00F50B2D">
        <w:rPr>
          <w:rFonts w:eastAsia="MS Gothic" w:cs="Arial"/>
          <w:b/>
          <w:color w:val="0072DA"/>
          <w:sz w:val="24"/>
        </w:rPr>
        <w:t>Submission of Late Work</w:t>
      </w:r>
    </w:p>
    <w:p w:rsidR="00F50B2D" w:rsidRPr="00F50B2D" w:rsidRDefault="00F50B2D" w:rsidP="00F50B2D">
      <w:pPr>
        <w:spacing w:after="0" w:line="240" w:lineRule="auto"/>
      </w:pPr>
      <w:r w:rsidRPr="00F50B2D">
        <w:t xml:space="preserve">Students are expected to submit work on time. No late assignments will be accepted or graded unless an arrangement </w:t>
      </w:r>
      <w:r w:rsidR="00811CBF">
        <w:t xml:space="preserve">was </w:t>
      </w:r>
      <w:r w:rsidRPr="00F50B2D">
        <w:t>made between the student and the instructor</w:t>
      </w:r>
      <w:r w:rsidR="00811CBF">
        <w:t xml:space="preserve"> within the week the assignments were due</w:t>
      </w:r>
      <w:bookmarkStart w:id="0" w:name="_GoBack"/>
      <w:bookmarkEnd w:id="0"/>
      <w:r w:rsidRPr="00F50B2D">
        <w:t>.</w:t>
      </w:r>
    </w:p>
    <w:p w:rsidR="00E06418" w:rsidRPr="00E06418" w:rsidRDefault="00E06418" w:rsidP="00E06418">
      <w:pPr>
        <w:spacing w:after="0" w:line="240" w:lineRule="auto"/>
        <w:ind w:left="720"/>
      </w:pPr>
    </w:p>
    <w:p w:rsidR="00E06418" w:rsidRPr="00E06418" w:rsidRDefault="00E06418" w:rsidP="00E06418">
      <w:pPr>
        <w:keepNext/>
        <w:keepLines/>
        <w:spacing w:before="200" w:after="0"/>
        <w:outlineLvl w:val="1"/>
        <w:rPr>
          <w:rFonts w:eastAsia="MS Gothic" w:cs="Arial"/>
          <w:b/>
          <w:color w:val="0072DA"/>
          <w:sz w:val="24"/>
        </w:rPr>
      </w:pPr>
      <w:r w:rsidRPr="00E06418">
        <w:rPr>
          <w:rFonts w:eastAsia="MS Gothic" w:cs="Arial"/>
          <w:b/>
          <w:color w:val="0072DA"/>
          <w:sz w:val="24"/>
        </w:rPr>
        <w:t xml:space="preserve">Academic Integrity  </w:t>
      </w:r>
    </w:p>
    <w:p w:rsidR="00E06418" w:rsidRPr="00E06418" w:rsidRDefault="00E06418" w:rsidP="00E06418">
      <w:pPr>
        <w:spacing w:after="0" w:line="240" w:lineRule="auto"/>
      </w:pPr>
      <w:r w:rsidRPr="00E06418">
        <w:rPr>
          <w:color w:val="292526"/>
        </w:rPr>
        <w:t>At a Christian liberal arts University committed to the pursuit of truth and understanding, any act of academic dishonesty is especially distressing and cannot be tolerated. In general, academic dishonesty involves the abuse and misuse of information or people to gain an undeserved academic advantage or evaluation. The common forms of academic dishonesty include:</w:t>
      </w:r>
    </w:p>
    <w:p w:rsidR="00E06418" w:rsidRPr="00E06418" w:rsidRDefault="00E06418" w:rsidP="00E06418">
      <w:pPr>
        <w:numPr>
          <w:ilvl w:val="1"/>
          <w:numId w:val="48"/>
        </w:numPr>
        <w:tabs>
          <w:tab w:val="num" w:pos="720"/>
        </w:tabs>
        <w:autoSpaceDE w:val="0"/>
        <w:autoSpaceDN w:val="0"/>
        <w:adjustRightInd w:val="0"/>
        <w:spacing w:after="0" w:line="240" w:lineRule="auto"/>
        <w:ind w:left="720"/>
        <w:rPr>
          <w:color w:val="292526"/>
        </w:rPr>
      </w:pPr>
      <w:r w:rsidRPr="00E06418">
        <w:rPr>
          <w:color w:val="292526"/>
        </w:rPr>
        <w:t>cheating - using deception in the taking of tests or the preparation of written work, using unauthorized materials, copying another person’s work with or without consent, or assisting another in such activities</w:t>
      </w:r>
    </w:p>
    <w:p w:rsidR="00E06418" w:rsidRPr="00E06418" w:rsidRDefault="00E06418" w:rsidP="00E06418">
      <w:pPr>
        <w:numPr>
          <w:ilvl w:val="1"/>
          <w:numId w:val="48"/>
        </w:numPr>
        <w:tabs>
          <w:tab w:val="num" w:pos="720"/>
        </w:tabs>
        <w:autoSpaceDE w:val="0"/>
        <w:autoSpaceDN w:val="0"/>
        <w:adjustRightInd w:val="0"/>
        <w:spacing w:after="0" w:line="240" w:lineRule="auto"/>
        <w:ind w:left="720"/>
        <w:rPr>
          <w:color w:val="292526"/>
        </w:rPr>
      </w:pPr>
      <w:r w:rsidRPr="00E06418">
        <w:rPr>
          <w:color w:val="292526"/>
        </w:rPr>
        <w:t>lying—falsifying, fabricating, or forging information in either written, spoken, or video presentations</w:t>
      </w:r>
    </w:p>
    <w:p w:rsidR="00E06418" w:rsidRPr="00E06418" w:rsidRDefault="00E06418" w:rsidP="00E06418">
      <w:pPr>
        <w:numPr>
          <w:ilvl w:val="1"/>
          <w:numId w:val="48"/>
        </w:numPr>
        <w:tabs>
          <w:tab w:val="num" w:pos="720"/>
        </w:tabs>
        <w:autoSpaceDE w:val="0"/>
        <w:autoSpaceDN w:val="0"/>
        <w:adjustRightInd w:val="0"/>
        <w:spacing w:after="0" w:line="240" w:lineRule="auto"/>
        <w:ind w:left="720"/>
        <w:rPr>
          <w:color w:val="292526"/>
        </w:rPr>
      </w:pPr>
      <w:r w:rsidRPr="00E06418">
        <w:rPr>
          <w:color w:val="292526"/>
        </w:rPr>
        <w:t>plagiarism—using the published writings, data, interpretations, or ideas of another without proper documentation</w:t>
      </w:r>
    </w:p>
    <w:p w:rsidR="00E06418" w:rsidRPr="00E06418" w:rsidRDefault="00E06418" w:rsidP="00E06418">
      <w:pPr>
        <w:autoSpaceDE w:val="0"/>
        <w:autoSpaceDN w:val="0"/>
        <w:adjustRightInd w:val="0"/>
        <w:spacing w:after="0" w:line="240" w:lineRule="auto"/>
        <w:ind w:left="360"/>
        <w:rPr>
          <w:color w:val="292526"/>
        </w:rPr>
      </w:pPr>
    </w:p>
    <w:p w:rsidR="00E06418" w:rsidRPr="00E06418" w:rsidRDefault="00E06418" w:rsidP="00E06418">
      <w:pPr>
        <w:autoSpaceDE w:val="0"/>
        <w:autoSpaceDN w:val="0"/>
        <w:adjustRightInd w:val="0"/>
        <w:spacing w:after="0" w:line="240" w:lineRule="auto"/>
        <w:ind w:left="360"/>
        <w:rPr>
          <w:color w:val="292526"/>
        </w:rPr>
      </w:pPr>
      <w:r w:rsidRPr="00E06418">
        <w:rPr>
          <w:color w:val="292526"/>
        </w:rPr>
        <w:t>Episodes of academic dishonesty are reported to the Vice President for Academic Affairs.  The potential penalty for academic dishonesty includes a failing grade on a particular assignment, a failing grade for the entire course, or charges against the student with the appropriate disciplinary body.</w:t>
      </w:r>
    </w:p>
    <w:p w:rsidR="00E06418" w:rsidRPr="00E06418" w:rsidRDefault="00E06418" w:rsidP="00E06418">
      <w:pPr>
        <w:spacing w:after="0" w:line="240" w:lineRule="auto"/>
      </w:pPr>
    </w:p>
    <w:p w:rsidR="00E06418" w:rsidRPr="00E06418" w:rsidRDefault="00E06418" w:rsidP="00E06418">
      <w:pPr>
        <w:keepNext/>
        <w:keepLines/>
        <w:spacing w:before="200" w:after="0"/>
        <w:outlineLvl w:val="1"/>
        <w:rPr>
          <w:rFonts w:eastAsia="MS Gothic" w:cs="Arial"/>
          <w:b/>
          <w:color w:val="0072DA"/>
          <w:sz w:val="24"/>
        </w:rPr>
      </w:pPr>
      <w:r w:rsidRPr="00E06418">
        <w:rPr>
          <w:rFonts w:eastAsia="MS Gothic" w:cs="Arial"/>
          <w:b/>
          <w:color w:val="0072DA"/>
          <w:sz w:val="24"/>
        </w:rPr>
        <w:t xml:space="preserve">Students with Disabilities  </w:t>
      </w:r>
    </w:p>
    <w:p w:rsidR="00E06418" w:rsidRPr="00E06418" w:rsidRDefault="00E06418" w:rsidP="00E06418">
      <w:pPr>
        <w:spacing w:after="0" w:line="240" w:lineRule="auto"/>
      </w:pPr>
      <w:r w:rsidRPr="00E06418">
        <w:t xml:space="preserve">Students who may have a disability meriting an academic accommodation should contact Dr. Tom Fish in LIB 21 to ensure that their needs are properly evaluated and that documentation is on file. </w:t>
      </w:r>
      <w:r w:rsidRPr="00E06418">
        <w:rPr>
          <w:b/>
          <w:bCs/>
        </w:rPr>
        <w:t>Any accommodations for disabilities must be re-certified each semester by the Academic Affairs Office before course adjustments are made by individual instructors.</w:t>
      </w:r>
    </w:p>
    <w:p w:rsidR="00E06418" w:rsidRPr="00E06418" w:rsidRDefault="00E06418" w:rsidP="00E06418">
      <w:pPr>
        <w:spacing w:after="0" w:line="240" w:lineRule="auto"/>
        <w:ind w:left="360"/>
      </w:pPr>
    </w:p>
    <w:p w:rsidR="00E06418" w:rsidRPr="00E06418" w:rsidRDefault="00E06418" w:rsidP="00E06418">
      <w:pPr>
        <w:keepNext/>
        <w:keepLines/>
        <w:spacing w:before="200" w:after="0"/>
        <w:outlineLvl w:val="1"/>
        <w:rPr>
          <w:rFonts w:eastAsia="MS Gothic" w:cs="Arial"/>
          <w:b/>
          <w:color w:val="0072DA"/>
          <w:sz w:val="24"/>
        </w:rPr>
      </w:pPr>
      <w:r w:rsidRPr="00E06418">
        <w:rPr>
          <w:rFonts w:eastAsia="MS Gothic" w:cs="Arial"/>
          <w:b/>
          <w:color w:val="0072DA"/>
          <w:sz w:val="24"/>
        </w:rPr>
        <w:t>Student Responsibilities</w:t>
      </w:r>
    </w:p>
    <w:p w:rsidR="00E06418" w:rsidRPr="00E06418" w:rsidRDefault="00E06418" w:rsidP="00E06418">
      <w:pPr>
        <w:numPr>
          <w:ilvl w:val="0"/>
          <w:numId w:val="49"/>
        </w:numPr>
        <w:spacing w:after="0" w:line="240" w:lineRule="auto"/>
      </w:pPr>
      <w:r w:rsidRPr="00E06418">
        <w:t>Students are expected to login several times per week to participate in class discussions.</w:t>
      </w:r>
    </w:p>
    <w:p w:rsidR="00E06418" w:rsidRPr="00E06418" w:rsidRDefault="00E06418" w:rsidP="00E06418">
      <w:pPr>
        <w:numPr>
          <w:ilvl w:val="0"/>
          <w:numId w:val="49"/>
        </w:numPr>
        <w:spacing w:after="0" w:line="240" w:lineRule="auto"/>
      </w:pPr>
      <w:r w:rsidRPr="00E06418">
        <w:t>Students are expected to find out if any changes have been made in the class or assignment schedule.</w:t>
      </w:r>
    </w:p>
    <w:p w:rsidR="00E06418" w:rsidRPr="00E06418" w:rsidRDefault="00E06418" w:rsidP="00E06418">
      <w:pPr>
        <w:numPr>
          <w:ilvl w:val="0"/>
          <w:numId w:val="49"/>
        </w:numPr>
        <w:spacing w:after="0" w:line="240" w:lineRule="auto"/>
      </w:pPr>
      <w:r w:rsidRPr="00E06418">
        <w:t>Students are expected to be self-motivating in an online, asynchronous course.</w:t>
      </w:r>
      <w:r w:rsidRPr="00E06418">
        <w:tab/>
      </w:r>
    </w:p>
    <w:p w:rsidR="00B32FCA" w:rsidRPr="00B32FCA" w:rsidRDefault="00B32FCA" w:rsidP="00E06418">
      <w:pPr>
        <w:keepNext/>
        <w:keepLines/>
        <w:spacing w:before="200" w:after="0"/>
        <w:outlineLvl w:val="1"/>
        <w:rPr>
          <w:rFonts w:cs="Arial"/>
          <w:b/>
          <w:i/>
          <w:iCs/>
          <w:szCs w:val="22"/>
        </w:rPr>
      </w:pPr>
    </w:p>
    <w:sectPr w:rsidR="00B32FCA" w:rsidRPr="00B32FCA" w:rsidSect="0084701F">
      <w:footerReference w:type="first" r:id="rId18"/>
      <w:type w:val="continuous"/>
      <w:pgSz w:w="12240" w:h="15840" w:code="1"/>
      <w:pgMar w:top="1440" w:right="1440" w:bottom="108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D58" w:rsidRDefault="00D21D58" w:rsidP="008852E0">
      <w:r>
        <w:separator/>
      </w:r>
    </w:p>
  </w:endnote>
  <w:endnote w:type="continuationSeparator" w:id="1">
    <w:p w:rsidR="00D21D58" w:rsidRDefault="00D21D58" w:rsidP="008852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1A" w:rsidRPr="00212AC8" w:rsidRDefault="008A171A" w:rsidP="00DB5935">
    <w:pPr>
      <w:pStyle w:val="Footer"/>
      <w:tabs>
        <w:tab w:val="clear" w:pos="8640"/>
        <w:tab w:val="right" w:pos="9360"/>
      </w:tabs>
      <w:spacing w:after="0"/>
    </w:pPr>
    <w:r w:rsidRPr="009F6E9C">
      <w:rPr>
        <w:i/>
        <w:iCs/>
        <w:sz w:val="18"/>
        <w:szCs w:val="18"/>
      </w:rPr>
      <w:tab/>
    </w:r>
    <w:r>
      <w:rPr>
        <w:i/>
        <w:iCs/>
        <w:sz w:val="18"/>
        <w:szCs w:val="18"/>
      </w:rPr>
      <w:tab/>
    </w:r>
    <w:r w:rsidRPr="00C60244">
      <w:rPr>
        <w:iCs/>
        <w:sz w:val="18"/>
        <w:szCs w:val="18"/>
      </w:rPr>
      <w:t xml:space="preserve">Page </w:t>
    </w:r>
    <w:r w:rsidR="002B7EFF" w:rsidRPr="00C60244">
      <w:rPr>
        <w:iCs/>
        <w:sz w:val="18"/>
        <w:szCs w:val="18"/>
      </w:rPr>
      <w:fldChar w:fldCharType="begin"/>
    </w:r>
    <w:r w:rsidRPr="00C60244">
      <w:rPr>
        <w:iCs/>
        <w:sz w:val="18"/>
        <w:szCs w:val="18"/>
      </w:rPr>
      <w:instrText xml:space="preserve"> PAGE   \* MERGEFORMAT </w:instrText>
    </w:r>
    <w:r w:rsidR="002B7EFF" w:rsidRPr="00C60244">
      <w:rPr>
        <w:iCs/>
        <w:sz w:val="18"/>
        <w:szCs w:val="18"/>
      </w:rPr>
      <w:fldChar w:fldCharType="separate"/>
    </w:r>
    <w:r w:rsidR="00E5280F">
      <w:rPr>
        <w:iCs/>
        <w:noProof/>
        <w:sz w:val="18"/>
        <w:szCs w:val="18"/>
      </w:rPr>
      <w:t>2</w:t>
    </w:r>
    <w:r w:rsidR="002B7EFF" w:rsidRPr="00C60244">
      <w:rPr>
        <w:iCs/>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71A" w:rsidRPr="00212AC8" w:rsidRDefault="008A171A" w:rsidP="0058731D">
    <w:pPr>
      <w:pStyle w:val="Footer"/>
      <w:tabs>
        <w:tab w:val="clear" w:pos="8640"/>
        <w:tab w:val="right" w:pos="9360"/>
      </w:tabs>
      <w:spacing w:after="0"/>
    </w:pPr>
    <w:r w:rsidRPr="009F6E9C">
      <w:rPr>
        <w:i/>
        <w:iCs/>
        <w:sz w:val="18"/>
        <w:szCs w:val="18"/>
      </w:rPr>
      <w:tab/>
    </w:r>
    <w:r>
      <w:rPr>
        <w:i/>
        <w:iCs/>
        <w:sz w:val="18"/>
        <w:szCs w:val="18"/>
      </w:rPr>
      <w:tab/>
    </w:r>
    <w:r w:rsidRPr="00C60244">
      <w:rPr>
        <w:iCs/>
        <w:sz w:val="18"/>
        <w:szCs w:val="18"/>
      </w:rPr>
      <w:t xml:space="preserve">Page </w:t>
    </w:r>
    <w:r w:rsidR="002B7EFF" w:rsidRPr="00C60244">
      <w:rPr>
        <w:iCs/>
        <w:sz w:val="18"/>
        <w:szCs w:val="18"/>
      </w:rPr>
      <w:fldChar w:fldCharType="begin"/>
    </w:r>
    <w:r w:rsidRPr="00C60244">
      <w:rPr>
        <w:iCs/>
        <w:sz w:val="18"/>
        <w:szCs w:val="18"/>
      </w:rPr>
      <w:instrText xml:space="preserve"> PAGE   \* MERGEFORMAT </w:instrText>
    </w:r>
    <w:r w:rsidR="002B7EFF" w:rsidRPr="00C60244">
      <w:rPr>
        <w:iCs/>
        <w:sz w:val="18"/>
        <w:szCs w:val="18"/>
      </w:rPr>
      <w:fldChar w:fldCharType="separate"/>
    </w:r>
    <w:r w:rsidR="00D15DCF">
      <w:rPr>
        <w:iCs/>
        <w:noProof/>
        <w:sz w:val="18"/>
        <w:szCs w:val="18"/>
      </w:rPr>
      <w:t>1</w:t>
    </w:r>
    <w:r w:rsidR="002B7EFF" w:rsidRPr="00C60244">
      <w:rPr>
        <w:iCs/>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E2" w:rsidRPr="007B0C1C" w:rsidRDefault="004462E2" w:rsidP="007B0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D58" w:rsidRDefault="00D21D58" w:rsidP="008852E0">
      <w:r>
        <w:separator/>
      </w:r>
    </w:p>
  </w:footnote>
  <w:footnote w:type="continuationSeparator" w:id="1">
    <w:p w:rsidR="00D21D58" w:rsidRDefault="00D21D58" w:rsidP="00885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tblPr>
    <w:tblGrid>
      <w:gridCol w:w="2792"/>
      <w:gridCol w:w="6596"/>
    </w:tblGrid>
    <w:tr w:rsidR="008A171A" w:rsidTr="00E4701F">
      <w:trPr>
        <w:trHeight w:hRule="exact" w:val="1080"/>
      </w:trPr>
      <w:tc>
        <w:tcPr>
          <w:tcW w:w="2361" w:type="dxa"/>
        </w:tcPr>
        <w:p w:rsidR="008A171A" w:rsidRDefault="00E06418" w:rsidP="00E4701F">
          <w:pPr>
            <w:pStyle w:val="Header"/>
            <w:rPr>
              <w:rFonts w:ascii="Cambria" w:hAnsi="Cambria" w:cs="Cambria"/>
              <w:color w:val="000000"/>
              <w:sz w:val="32"/>
              <w:szCs w:val="32"/>
            </w:rPr>
          </w:pPr>
          <w:r>
            <w:rPr>
              <w:rFonts w:ascii="Cambria" w:hAnsi="Cambria" w:cs="Cambria"/>
              <w:noProof/>
              <w:color w:val="000000"/>
              <w:sz w:val="32"/>
              <w:szCs w:val="32"/>
              <w:lang w:val="en-GB" w:eastAsia="en-GB"/>
            </w:rPr>
            <w:drawing>
              <wp:inline distT="0" distB="0" distL="0" distR="0">
                <wp:extent cx="1754784" cy="5523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6860" cy="559255"/>
                        </a:xfrm>
                        <a:prstGeom prst="rect">
                          <a:avLst/>
                        </a:prstGeom>
                      </pic:spPr>
                    </pic:pic>
                  </a:graphicData>
                </a:graphic>
              </wp:inline>
            </w:drawing>
          </w:r>
        </w:p>
      </w:tc>
      <w:tc>
        <w:tcPr>
          <w:tcW w:w="7215" w:type="dxa"/>
          <w:vAlign w:val="bottom"/>
        </w:tcPr>
        <w:p w:rsidR="008A171A" w:rsidRPr="00E60A2C" w:rsidRDefault="00E06418" w:rsidP="00273F08">
          <w:pPr>
            <w:pStyle w:val="Header"/>
            <w:spacing w:line="240" w:lineRule="auto"/>
            <w:rPr>
              <w:color w:val="004B91"/>
              <w:sz w:val="32"/>
              <w:szCs w:val="32"/>
            </w:rPr>
          </w:pPr>
          <w:r w:rsidRPr="00E06418">
            <w:rPr>
              <w:color w:val="004B91"/>
              <w:sz w:val="28"/>
              <w:szCs w:val="30"/>
            </w:rPr>
            <w:t>ISOL533—Information Security &amp; Risk Management</w:t>
          </w:r>
        </w:p>
      </w:tc>
    </w:tr>
  </w:tbl>
  <w:p w:rsidR="008A171A" w:rsidRPr="00212AC8" w:rsidRDefault="008A171A" w:rsidP="0058731D">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639"/>
    <w:multiLevelType w:val="hybridMultilevel"/>
    <w:tmpl w:val="4094D3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00"/>
        </w:tabs>
        <w:ind w:left="-300" w:hanging="360"/>
      </w:pPr>
      <w:rPr>
        <w:rFonts w:ascii="Courier New" w:hAnsi="Courier New" w:hint="default"/>
      </w:rPr>
    </w:lvl>
    <w:lvl w:ilvl="2" w:tplc="04090005" w:tentative="1">
      <w:start w:val="1"/>
      <w:numFmt w:val="bullet"/>
      <w:lvlText w:val=""/>
      <w:lvlJc w:val="left"/>
      <w:pPr>
        <w:tabs>
          <w:tab w:val="num" w:pos="420"/>
        </w:tabs>
        <w:ind w:left="420" w:hanging="360"/>
      </w:pPr>
      <w:rPr>
        <w:rFonts w:ascii="Wingdings" w:hAnsi="Wingdings" w:hint="default"/>
      </w:rPr>
    </w:lvl>
    <w:lvl w:ilvl="3" w:tplc="04090001" w:tentative="1">
      <w:start w:val="1"/>
      <w:numFmt w:val="bullet"/>
      <w:lvlText w:val=""/>
      <w:lvlJc w:val="left"/>
      <w:pPr>
        <w:tabs>
          <w:tab w:val="num" w:pos="1140"/>
        </w:tabs>
        <w:ind w:left="1140" w:hanging="360"/>
      </w:pPr>
      <w:rPr>
        <w:rFonts w:ascii="Symbol" w:hAnsi="Symbol" w:hint="default"/>
      </w:rPr>
    </w:lvl>
    <w:lvl w:ilvl="4" w:tplc="04090003" w:tentative="1">
      <w:start w:val="1"/>
      <w:numFmt w:val="bullet"/>
      <w:lvlText w:val="o"/>
      <w:lvlJc w:val="left"/>
      <w:pPr>
        <w:tabs>
          <w:tab w:val="num" w:pos="1860"/>
        </w:tabs>
        <w:ind w:left="1860" w:hanging="360"/>
      </w:pPr>
      <w:rPr>
        <w:rFonts w:ascii="Courier New" w:hAnsi="Courier New" w:hint="default"/>
      </w:rPr>
    </w:lvl>
    <w:lvl w:ilvl="5" w:tplc="04090005" w:tentative="1">
      <w:start w:val="1"/>
      <w:numFmt w:val="bullet"/>
      <w:lvlText w:val=""/>
      <w:lvlJc w:val="left"/>
      <w:pPr>
        <w:tabs>
          <w:tab w:val="num" w:pos="2580"/>
        </w:tabs>
        <w:ind w:left="2580" w:hanging="360"/>
      </w:pPr>
      <w:rPr>
        <w:rFonts w:ascii="Wingdings" w:hAnsi="Wingdings" w:hint="default"/>
      </w:rPr>
    </w:lvl>
    <w:lvl w:ilvl="6" w:tplc="04090001" w:tentative="1">
      <w:start w:val="1"/>
      <w:numFmt w:val="bullet"/>
      <w:lvlText w:val=""/>
      <w:lvlJc w:val="left"/>
      <w:pPr>
        <w:tabs>
          <w:tab w:val="num" w:pos="3300"/>
        </w:tabs>
        <w:ind w:left="3300" w:hanging="360"/>
      </w:pPr>
      <w:rPr>
        <w:rFonts w:ascii="Symbol" w:hAnsi="Symbol" w:hint="default"/>
      </w:rPr>
    </w:lvl>
    <w:lvl w:ilvl="7" w:tplc="04090003" w:tentative="1">
      <w:start w:val="1"/>
      <w:numFmt w:val="bullet"/>
      <w:lvlText w:val="o"/>
      <w:lvlJc w:val="left"/>
      <w:pPr>
        <w:tabs>
          <w:tab w:val="num" w:pos="4020"/>
        </w:tabs>
        <w:ind w:left="4020" w:hanging="360"/>
      </w:pPr>
      <w:rPr>
        <w:rFonts w:ascii="Courier New" w:hAnsi="Courier New" w:hint="default"/>
      </w:rPr>
    </w:lvl>
    <w:lvl w:ilvl="8" w:tplc="04090005" w:tentative="1">
      <w:start w:val="1"/>
      <w:numFmt w:val="bullet"/>
      <w:lvlText w:val=""/>
      <w:lvlJc w:val="left"/>
      <w:pPr>
        <w:tabs>
          <w:tab w:val="num" w:pos="4740"/>
        </w:tabs>
        <w:ind w:left="4740" w:hanging="360"/>
      </w:pPr>
      <w:rPr>
        <w:rFonts w:ascii="Wingdings" w:hAnsi="Wingdings" w:hint="default"/>
      </w:rPr>
    </w:lvl>
  </w:abstractNum>
  <w:abstractNum w:abstractNumId="1">
    <w:nsid w:val="018F6FE7"/>
    <w:multiLevelType w:val="hybridMultilevel"/>
    <w:tmpl w:val="6F8A8B68"/>
    <w:lvl w:ilvl="0" w:tplc="D24A0BA0">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nsid w:val="06B15A1A"/>
    <w:multiLevelType w:val="hybridMultilevel"/>
    <w:tmpl w:val="B0344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E524B"/>
    <w:multiLevelType w:val="hybridMultilevel"/>
    <w:tmpl w:val="B608CC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F1681"/>
    <w:multiLevelType w:val="hybridMultilevel"/>
    <w:tmpl w:val="0FDE24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970926"/>
    <w:multiLevelType w:val="hybridMultilevel"/>
    <w:tmpl w:val="38E6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6D0201"/>
    <w:multiLevelType w:val="hybridMultilevel"/>
    <w:tmpl w:val="FA38BF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A2466B"/>
    <w:multiLevelType w:val="hybridMultilevel"/>
    <w:tmpl w:val="6BFC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43954"/>
    <w:multiLevelType w:val="multilevel"/>
    <w:tmpl w:val="3B9E94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4A031B"/>
    <w:multiLevelType w:val="hybridMultilevel"/>
    <w:tmpl w:val="BCC0A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0676D6"/>
    <w:multiLevelType w:val="hybridMultilevel"/>
    <w:tmpl w:val="843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11944"/>
    <w:multiLevelType w:val="hybridMultilevel"/>
    <w:tmpl w:val="DF7AF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9A1CF4"/>
    <w:multiLevelType w:val="hybridMultilevel"/>
    <w:tmpl w:val="3F7853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B6F6E"/>
    <w:multiLevelType w:val="hybridMultilevel"/>
    <w:tmpl w:val="29E00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4E65F5"/>
    <w:multiLevelType w:val="hybridMultilevel"/>
    <w:tmpl w:val="026668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065F3"/>
    <w:multiLevelType w:val="hybridMultilevel"/>
    <w:tmpl w:val="E7F4343C"/>
    <w:lvl w:ilvl="0" w:tplc="0C0C0005">
      <w:start w:val="1"/>
      <w:numFmt w:val="bullet"/>
      <w:pStyle w:val="ISSATable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22D45B77"/>
    <w:multiLevelType w:val="hybridMultilevel"/>
    <w:tmpl w:val="2C24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0639D"/>
    <w:multiLevelType w:val="hybridMultilevel"/>
    <w:tmpl w:val="34F8834A"/>
    <w:lvl w:ilvl="0" w:tplc="4E4C1C72">
      <w:start w:val="1"/>
      <w:numFmt w:val="bullet"/>
      <w:lvlText w:val=""/>
      <w:lvlJc w:val="left"/>
      <w:pPr>
        <w:ind w:left="360" w:hanging="360"/>
      </w:pPr>
      <w:rPr>
        <w:rFonts w:ascii="Wingdings" w:hAnsi="Wingdings" w:hint="default"/>
        <w:color w:val="000000" w:themeColor="tex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2BB915DD"/>
    <w:multiLevelType w:val="hybridMultilevel"/>
    <w:tmpl w:val="EFA8C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FE780C"/>
    <w:multiLevelType w:val="hybridMultilevel"/>
    <w:tmpl w:val="4866D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0B2A22"/>
    <w:multiLevelType w:val="hybridMultilevel"/>
    <w:tmpl w:val="47F6F76E"/>
    <w:lvl w:ilvl="0" w:tplc="0BB0A4BE">
      <w:start w:val="1"/>
      <w:numFmt w:val="bullet"/>
      <w:lvlText w:val=""/>
      <w:lvlJc w:val="left"/>
      <w:pPr>
        <w:tabs>
          <w:tab w:val="num" w:pos="1080"/>
        </w:tabs>
        <w:ind w:left="720" w:hanging="360"/>
      </w:pPr>
      <w:rPr>
        <w:rFonts w:ascii="Wingdings" w:hAnsi="Wingdings" w:hint="default"/>
      </w:rPr>
    </w:lvl>
    <w:lvl w:ilvl="1" w:tplc="F5DA371E">
      <w:start w:val="1"/>
      <w:numFmt w:val="bullet"/>
      <w:pStyle w:val="LB2"/>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633F0F"/>
    <w:multiLevelType w:val="hybridMultilevel"/>
    <w:tmpl w:val="F5BA6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036A2"/>
    <w:multiLevelType w:val="hybridMultilevel"/>
    <w:tmpl w:val="58CE5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306AD3"/>
    <w:multiLevelType w:val="hybridMultilevel"/>
    <w:tmpl w:val="E2DCB66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37697217"/>
    <w:multiLevelType w:val="hybridMultilevel"/>
    <w:tmpl w:val="3E1E973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nsid w:val="38085635"/>
    <w:multiLevelType w:val="hybridMultilevel"/>
    <w:tmpl w:val="1402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9028C4"/>
    <w:multiLevelType w:val="hybridMultilevel"/>
    <w:tmpl w:val="210C37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E71E23"/>
    <w:multiLevelType w:val="hybridMultilevel"/>
    <w:tmpl w:val="D962FD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2F5B1D"/>
    <w:multiLevelType w:val="hybridMultilevel"/>
    <w:tmpl w:val="A7365274"/>
    <w:lvl w:ilvl="0" w:tplc="3BBC2472">
      <w:start w:val="30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9B1B64"/>
    <w:multiLevelType w:val="hybridMultilevel"/>
    <w:tmpl w:val="08A4B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EE5684"/>
    <w:multiLevelType w:val="hybridMultilevel"/>
    <w:tmpl w:val="7BD07BB4"/>
    <w:lvl w:ilvl="0" w:tplc="495EFF06">
      <w:start w:val="1"/>
      <w:numFmt w:val="bullet"/>
      <w:pStyle w:val="ISSAbullet"/>
      <w:lvlText w:val=""/>
      <w:lvlJc w:val="left"/>
      <w:pPr>
        <w:tabs>
          <w:tab w:val="num" w:pos="720"/>
        </w:tabs>
        <w:ind w:left="720" w:hanging="360"/>
      </w:pPr>
      <w:rPr>
        <w:rFonts w:ascii="Wingdings" w:hAnsi="Wingdings" w:hint="default"/>
        <w:sz w:val="22"/>
        <w:szCs w:val="22"/>
      </w:rPr>
    </w:lvl>
    <w:lvl w:ilvl="1" w:tplc="BBC2A208">
      <w:start w:val="1"/>
      <w:numFmt w:val="bullet"/>
      <w:pStyle w:val="ISSAbulletLevel2"/>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8956CC"/>
    <w:multiLevelType w:val="hybridMultilevel"/>
    <w:tmpl w:val="53984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1B7982"/>
    <w:multiLevelType w:val="hybridMultilevel"/>
    <w:tmpl w:val="61BE3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F46028"/>
    <w:multiLevelType w:val="hybridMultilevel"/>
    <w:tmpl w:val="6178C618"/>
    <w:lvl w:ilvl="0" w:tplc="1FC6760E">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8AC02BD"/>
    <w:multiLevelType w:val="hybridMultilevel"/>
    <w:tmpl w:val="3B9E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373BD8"/>
    <w:multiLevelType w:val="hybridMultilevel"/>
    <w:tmpl w:val="1CEA7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BA56C5"/>
    <w:multiLevelType w:val="hybridMultilevel"/>
    <w:tmpl w:val="08621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14D32"/>
    <w:multiLevelType w:val="hybridMultilevel"/>
    <w:tmpl w:val="971A5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255C0C"/>
    <w:multiLevelType w:val="hybridMultilevel"/>
    <w:tmpl w:val="81F03BD6"/>
    <w:lvl w:ilvl="0" w:tplc="40F0AC3C">
      <w:start w:val="1"/>
      <w:numFmt w:val="bullet"/>
      <w:pStyle w:val="TableBullet1"/>
      <w:lvlText w:val=""/>
      <w:lvlJc w:val="left"/>
      <w:pPr>
        <w:tabs>
          <w:tab w:val="num" w:pos="360"/>
        </w:tabs>
        <w:ind w:left="360" w:hanging="360"/>
      </w:pPr>
      <w:rPr>
        <w:rFonts w:ascii="Symbol" w:hAnsi="Symbol" w:hint="default"/>
        <w:color w:val="auto"/>
      </w:rPr>
    </w:lvl>
    <w:lvl w:ilvl="1" w:tplc="60CE532E">
      <w:start w:val="1"/>
      <w:numFmt w:val="bullet"/>
      <w:pStyle w:val="TableBullet2"/>
      <w:lvlText w:val="o"/>
      <w:lvlJc w:val="left"/>
      <w:pPr>
        <w:tabs>
          <w:tab w:val="num" w:pos="1080"/>
        </w:tabs>
        <w:ind w:left="1080" w:hanging="360"/>
      </w:pPr>
      <w:rPr>
        <w:rFonts w:ascii="Courier New" w:hAnsi="Courier New" w:cs="Symbol"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A2B0CB22">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9761A74"/>
    <w:multiLevelType w:val="hybridMultilevel"/>
    <w:tmpl w:val="03AC5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E842B7"/>
    <w:multiLevelType w:val="hybridMultilevel"/>
    <w:tmpl w:val="B7889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EA5D3F"/>
    <w:multiLevelType w:val="hybridMultilevel"/>
    <w:tmpl w:val="15E68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461094"/>
    <w:multiLevelType w:val="hybridMultilevel"/>
    <w:tmpl w:val="7682B8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661826"/>
    <w:multiLevelType w:val="hybridMultilevel"/>
    <w:tmpl w:val="4094D3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4">
    <w:nsid w:val="737469BE"/>
    <w:multiLevelType w:val="hybridMultilevel"/>
    <w:tmpl w:val="B79699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B83339"/>
    <w:multiLevelType w:val="hybridMultilevel"/>
    <w:tmpl w:val="85B641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4A4112"/>
    <w:multiLevelType w:val="hybridMultilevel"/>
    <w:tmpl w:val="3C2E3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2C127B"/>
    <w:multiLevelType w:val="hybridMultilevel"/>
    <w:tmpl w:val="6F0A2B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F204E7F"/>
    <w:multiLevelType w:val="hybridMultilevel"/>
    <w:tmpl w:val="6540D9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43"/>
  </w:num>
  <w:num w:numId="4">
    <w:abstractNumId w:val="1"/>
  </w:num>
  <w:num w:numId="5">
    <w:abstractNumId w:val="38"/>
  </w:num>
  <w:num w:numId="6">
    <w:abstractNumId w:val="5"/>
  </w:num>
  <w:num w:numId="7">
    <w:abstractNumId w:val="34"/>
  </w:num>
  <w:num w:numId="8">
    <w:abstractNumId w:val="46"/>
  </w:num>
  <w:num w:numId="9">
    <w:abstractNumId w:val="9"/>
  </w:num>
  <w:num w:numId="10">
    <w:abstractNumId w:val="3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4"/>
  </w:num>
  <w:num w:numId="14">
    <w:abstractNumId w:val="6"/>
  </w:num>
  <w:num w:numId="15">
    <w:abstractNumId w:val="19"/>
  </w:num>
  <w:num w:numId="16">
    <w:abstractNumId w:val="42"/>
  </w:num>
  <w:num w:numId="17">
    <w:abstractNumId w:val="3"/>
  </w:num>
  <w:num w:numId="18">
    <w:abstractNumId w:val="37"/>
  </w:num>
  <w:num w:numId="19">
    <w:abstractNumId w:val="44"/>
  </w:num>
  <w:num w:numId="20">
    <w:abstractNumId w:val="27"/>
  </w:num>
  <w:num w:numId="21">
    <w:abstractNumId w:val="11"/>
  </w:num>
  <w:num w:numId="22">
    <w:abstractNumId w:val="22"/>
  </w:num>
  <w:num w:numId="23">
    <w:abstractNumId w:val="41"/>
  </w:num>
  <w:num w:numId="24">
    <w:abstractNumId w:val="45"/>
  </w:num>
  <w:num w:numId="25">
    <w:abstractNumId w:val="13"/>
  </w:num>
  <w:num w:numId="26">
    <w:abstractNumId w:val="25"/>
  </w:num>
  <w:num w:numId="27">
    <w:abstractNumId w:val="8"/>
  </w:num>
  <w:num w:numId="28">
    <w:abstractNumId w:val="47"/>
  </w:num>
  <w:num w:numId="29">
    <w:abstractNumId w:val="32"/>
  </w:num>
  <w:num w:numId="30">
    <w:abstractNumId w:val="48"/>
  </w:num>
  <w:num w:numId="31">
    <w:abstractNumId w:val="28"/>
  </w:num>
  <w:num w:numId="32">
    <w:abstractNumId w:val="10"/>
  </w:num>
  <w:num w:numId="33">
    <w:abstractNumId w:val="16"/>
  </w:num>
  <w:num w:numId="34">
    <w:abstractNumId w:val="12"/>
  </w:num>
  <w:num w:numId="35">
    <w:abstractNumId w:val="26"/>
  </w:num>
  <w:num w:numId="36">
    <w:abstractNumId w:val="4"/>
  </w:num>
  <w:num w:numId="37">
    <w:abstractNumId w:val="36"/>
  </w:num>
  <w:num w:numId="38">
    <w:abstractNumId w:val="29"/>
  </w:num>
  <w:num w:numId="39">
    <w:abstractNumId w:val="2"/>
  </w:num>
  <w:num w:numId="40">
    <w:abstractNumId w:val="35"/>
  </w:num>
  <w:num w:numId="41">
    <w:abstractNumId w:val="30"/>
  </w:num>
  <w:num w:numId="42">
    <w:abstractNumId w:val="21"/>
  </w:num>
  <w:num w:numId="43">
    <w:abstractNumId w:val="40"/>
  </w:num>
  <w:num w:numId="44">
    <w:abstractNumId w:val="17"/>
  </w:num>
  <w:num w:numId="45">
    <w:abstractNumId w:val="23"/>
  </w:num>
  <w:num w:numId="46">
    <w:abstractNumId w:val="15"/>
  </w:num>
  <w:num w:numId="47">
    <w:abstractNumId w:val="24"/>
  </w:num>
  <w:num w:numId="48">
    <w:abstractNumId w:val="33"/>
  </w:num>
  <w:num w:numId="49">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96521"/>
    <w:rsid w:val="00012A86"/>
    <w:rsid w:val="00023594"/>
    <w:rsid w:val="00025F36"/>
    <w:rsid w:val="000460BC"/>
    <w:rsid w:val="00053883"/>
    <w:rsid w:val="00056F74"/>
    <w:rsid w:val="0006039E"/>
    <w:rsid w:val="00061B5B"/>
    <w:rsid w:val="00062ECF"/>
    <w:rsid w:val="000667AD"/>
    <w:rsid w:val="00067A95"/>
    <w:rsid w:val="000755BC"/>
    <w:rsid w:val="000800D4"/>
    <w:rsid w:val="0008068B"/>
    <w:rsid w:val="00087FE9"/>
    <w:rsid w:val="000901C0"/>
    <w:rsid w:val="000910E5"/>
    <w:rsid w:val="000A5FB5"/>
    <w:rsid w:val="000A78BB"/>
    <w:rsid w:val="000D3BF4"/>
    <w:rsid w:val="000E00AB"/>
    <w:rsid w:val="000E0B3A"/>
    <w:rsid w:val="000E5F9F"/>
    <w:rsid w:val="000E71D9"/>
    <w:rsid w:val="000F28AB"/>
    <w:rsid w:val="000F533B"/>
    <w:rsid w:val="00100464"/>
    <w:rsid w:val="00101195"/>
    <w:rsid w:val="00103295"/>
    <w:rsid w:val="001059F1"/>
    <w:rsid w:val="00107286"/>
    <w:rsid w:val="00131CCB"/>
    <w:rsid w:val="00136BAF"/>
    <w:rsid w:val="001615BD"/>
    <w:rsid w:val="00162753"/>
    <w:rsid w:val="00162FD8"/>
    <w:rsid w:val="00183797"/>
    <w:rsid w:val="00190756"/>
    <w:rsid w:val="001A282A"/>
    <w:rsid w:val="001A2CFB"/>
    <w:rsid w:val="001A5576"/>
    <w:rsid w:val="001A5BE2"/>
    <w:rsid w:val="001B15DF"/>
    <w:rsid w:val="001D6E75"/>
    <w:rsid w:val="001F242B"/>
    <w:rsid w:val="00203FE7"/>
    <w:rsid w:val="0021559F"/>
    <w:rsid w:val="0021701E"/>
    <w:rsid w:val="00225052"/>
    <w:rsid w:val="0022648C"/>
    <w:rsid w:val="00230138"/>
    <w:rsid w:val="00232AFD"/>
    <w:rsid w:val="00234305"/>
    <w:rsid w:val="0024460D"/>
    <w:rsid w:val="00261B71"/>
    <w:rsid w:val="0027584F"/>
    <w:rsid w:val="00281B94"/>
    <w:rsid w:val="00283054"/>
    <w:rsid w:val="002A1A78"/>
    <w:rsid w:val="002A370C"/>
    <w:rsid w:val="002B5F53"/>
    <w:rsid w:val="002B7EFF"/>
    <w:rsid w:val="002C0094"/>
    <w:rsid w:val="002C630F"/>
    <w:rsid w:val="002D1747"/>
    <w:rsid w:val="002D42E5"/>
    <w:rsid w:val="002E05CA"/>
    <w:rsid w:val="002E32CC"/>
    <w:rsid w:val="002F360E"/>
    <w:rsid w:val="003067B1"/>
    <w:rsid w:val="003103F9"/>
    <w:rsid w:val="00310D42"/>
    <w:rsid w:val="00316A0B"/>
    <w:rsid w:val="003230E7"/>
    <w:rsid w:val="00326CAC"/>
    <w:rsid w:val="003271DB"/>
    <w:rsid w:val="0033557F"/>
    <w:rsid w:val="00337315"/>
    <w:rsid w:val="00341D32"/>
    <w:rsid w:val="0034516F"/>
    <w:rsid w:val="00362194"/>
    <w:rsid w:val="00366185"/>
    <w:rsid w:val="0039316C"/>
    <w:rsid w:val="003A0A1B"/>
    <w:rsid w:val="003A7553"/>
    <w:rsid w:val="003B1ADF"/>
    <w:rsid w:val="003B21BA"/>
    <w:rsid w:val="003C0443"/>
    <w:rsid w:val="00400912"/>
    <w:rsid w:val="0040559D"/>
    <w:rsid w:val="0041422D"/>
    <w:rsid w:val="0041483B"/>
    <w:rsid w:val="004165AE"/>
    <w:rsid w:val="0042207D"/>
    <w:rsid w:val="0042289F"/>
    <w:rsid w:val="0042578E"/>
    <w:rsid w:val="00440093"/>
    <w:rsid w:val="00444BBE"/>
    <w:rsid w:val="004458FE"/>
    <w:rsid w:val="004462E2"/>
    <w:rsid w:val="00455DAD"/>
    <w:rsid w:val="00456062"/>
    <w:rsid w:val="00460492"/>
    <w:rsid w:val="00461D6B"/>
    <w:rsid w:val="00467883"/>
    <w:rsid w:val="004914DC"/>
    <w:rsid w:val="00492824"/>
    <w:rsid w:val="00492866"/>
    <w:rsid w:val="004931F9"/>
    <w:rsid w:val="004960ED"/>
    <w:rsid w:val="004A1B4E"/>
    <w:rsid w:val="004A4196"/>
    <w:rsid w:val="004B2155"/>
    <w:rsid w:val="004B2856"/>
    <w:rsid w:val="004D48DA"/>
    <w:rsid w:val="004E5C50"/>
    <w:rsid w:val="005176F4"/>
    <w:rsid w:val="00524CB7"/>
    <w:rsid w:val="00541544"/>
    <w:rsid w:val="00553FEA"/>
    <w:rsid w:val="00557BA4"/>
    <w:rsid w:val="00565F21"/>
    <w:rsid w:val="00567791"/>
    <w:rsid w:val="005707DA"/>
    <w:rsid w:val="00571E8E"/>
    <w:rsid w:val="00571FCA"/>
    <w:rsid w:val="005758A5"/>
    <w:rsid w:val="00577457"/>
    <w:rsid w:val="00584ABA"/>
    <w:rsid w:val="005874D3"/>
    <w:rsid w:val="005909AF"/>
    <w:rsid w:val="005936A1"/>
    <w:rsid w:val="00595271"/>
    <w:rsid w:val="00596521"/>
    <w:rsid w:val="005A39E4"/>
    <w:rsid w:val="005B018B"/>
    <w:rsid w:val="005B15F5"/>
    <w:rsid w:val="005B5822"/>
    <w:rsid w:val="005B7191"/>
    <w:rsid w:val="005C3DBF"/>
    <w:rsid w:val="005D7062"/>
    <w:rsid w:val="005D7A8A"/>
    <w:rsid w:val="005F2582"/>
    <w:rsid w:val="005F76D8"/>
    <w:rsid w:val="00601940"/>
    <w:rsid w:val="00602573"/>
    <w:rsid w:val="00626E4A"/>
    <w:rsid w:val="006302D5"/>
    <w:rsid w:val="0063030D"/>
    <w:rsid w:val="00642451"/>
    <w:rsid w:val="00643CAD"/>
    <w:rsid w:val="0065049D"/>
    <w:rsid w:val="00650AB5"/>
    <w:rsid w:val="00652657"/>
    <w:rsid w:val="006539A6"/>
    <w:rsid w:val="00661A01"/>
    <w:rsid w:val="00666D28"/>
    <w:rsid w:val="00675087"/>
    <w:rsid w:val="00684409"/>
    <w:rsid w:val="006939F2"/>
    <w:rsid w:val="00695130"/>
    <w:rsid w:val="006A0C22"/>
    <w:rsid w:val="006A2285"/>
    <w:rsid w:val="006A587F"/>
    <w:rsid w:val="006C05A5"/>
    <w:rsid w:val="006C1889"/>
    <w:rsid w:val="006C3E90"/>
    <w:rsid w:val="006C5127"/>
    <w:rsid w:val="006C594F"/>
    <w:rsid w:val="006D0E15"/>
    <w:rsid w:val="006E3387"/>
    <w:rsid w:val="006E7DE9"/>
    <w:rsid w:val="006F1BE8"/>
    <w:rsid w:val="006F25A9"/>
    <w:rsid w:val="006F3728"/>
    <w:rsid w:val="00703417"/>
    <w:rsid w:val="0070345C"/>
    <w:rsid w:val="0071782D"/>
    <w:rsid w:val="007205E4"/>
    <w:rsid w:val="007213AE"/>
    <w:rsid w:val="007378E1"/>
    <w:rsid w:val="00737D29"/>
    <w:rsid w:val="00744637"/>
    <w:rsid w:val="00747C51"/>
    <w:rsid w:val="00762AB5"/>
    <w:rsid w:val="00766D14"/>
    <w:rsid w:val="00771F00"/>
    <w:rsid w:val="00775B2B"/>
    <w:rsid w:val="00777CD8"/>
    <w:rsid w:val="0078292A"/>
    <w:rsid w:val="007904E5"/>
    <w:rsid w:val="00792CDD"/>
    <w:rsid w:val="007A4476"/>
    <w:rsid w:val="007A5150"/>
    <w:rsid w:val="007B0C1C"/>
    <w:rsid w:val="007B2630"/>
    <w:rsid w:val="007B2831"/>
    <w:rsid w:val="007B2E76"/>
    <w:rsid w:val="007D5163"/>
    <w:rsid w:val="007F148C"/>
    <w:rsid w:val="00802C8A"/>
    <w:rsid w:val="00807B1F"/>
    <w:rsid w:val="00811CBF"/>
    <w:rsid w:val="00813416"/>
    <w:rsid w:val="00813D6F"/>
    <w:rsid w:val="00816281"/>
    <w:rsid w:val="00817AE6"/>
    <w:rsid w:val="008203FA"/>
    <w:rsid w:val="008268DF"/>
    <w:rsid w:val="00830E59"/>
    <w:rsid w:val="0084203A"/>
    <w:rsid w:val="00846103"/>
    <w:rsid w:val="0084701F"/>
    <w:rsid w:val="0085020E"/>
    <w:rsid w:val="0085498E"/>
    <w:rsid w:val="0085634F"/>
    <w:rsid w:val="008577C2"/>
    <w:rsid w:val="008577C7"/>
    <w:rsid w:val="00857D4C"/>
    <w:rsid w:val="00870893"/>
    <w:rsid w:val="0087407B"/>
    <w:rsid w:val="0087671D"/>
    <w:rsid w:val="0088524B"/>
    <w:rsid w:val="008852E0"/>
    <w:rsid w:val="00893AB8"/>
    <w:rsid w:val="008A171A"/>
    <w:rsid w:val="008A3F09"/>
    <w:rsid w:val="008B3A59"/>
    <w:rsid w:val="008C29AA"/>
    <w:rsid w:val="008E610E"/>
    <w:rsid w:val="008F3FE5"/>
    <w:rsid w:val="00900AE7"/>
    <w:rsid w:val="009211D4"/>
    <w:rsid w:val="00924CDF"/>
    <w:rsid w:val="00930200"/>
    <w:rsid w:val="009304DB"/>
    <w:rsid w:val="00932D6F"/>
    <w:rsid w:val="00944C17"/>
    <w:rsid w:val="0095306C"/>
    <w:rsid w:val="0095645C"/>
    <w:rsid w:val="00961685"/>
    <w:rsid w:val="00972335"/>
    <w:rsid w:val="00983D46"/>
    <w:rsid w:val="00984FA4"/>
    <w:rsid w:val="009B7338"/>
    <w:rsid w:val="009C3467"/>
    <w:rsid w:val="009D0C67"/>
    <w:rsid w:val="009E5E25"/>
    <w:rsid w:val="009E5FD3"/>
    <w:rsid w:val="009F711D"/>
    <w:rsid w:val="00A04448"/>
    <w:rsid w:val="00A13D49"/>
    <w:rsid w:val="00A336E7"/>
    <w:rsid w:val="00A36399"/>
    <w:rsid w:val="00A41955"/>
    <w:rsid w:val="00A50930"/>
    <w:rsid w:val="00A55B52"/>
    <w:rsid w:val="00A619F2"/>
    <w:rsid w:val="00A67CA0"/>
    <w:rsid w:val="00A80F56"/>
    <w:rsid w:val="00A83C93"/>
    <w:rsid w:val="00A84752"/>
    <w:rsid w:val="00AB1309"/>
    <w:rsid w:val="00AB5C3A"/>
    <w:rsid w:val="00AB6196"/>
    <w:rsid w:val="00AC25A6"/>
    <w:rsid w:val="00AC5625"/>
    <w:rsid w:val="00AD322A"/>
    <w:rsid w:val="00AF1FE4"/>
    <w:rsid w:val="00AF513F"/>
    <w:rsid w:val="00AF777B"/>
    <w:rsid w:val="00B05AAD"/>
    <w:rsid w:val="00B1521F"/>
    <w:rsid w:val="00B32FCA"/>
    <w:rsid w:val="00B46CC6"/>
    <w:rsid w:val="00B4793D"/>
    <w:rsid w:val="00B50812"/>
    <w:rsid w:val="00B70131"/>
    <w:rsid w:val="00B77BAC"/>
    <w:rsid w:val="00B80BB2"/>
    <w:rsid w:val="00B83682"/>
    <w:rsid w:val="00B84938"/>
    <w:rsid w:val="00B87512"/>
    <w:rsid w:val="00B879FC"/>
    <w:rsid w:val="00B905C5"/>
    <w:rsid w:val="00BA608C"/>
    <w:rsid w:val="00BA6307"/>
    <w:rsid w:val="00BB1572"/>
    <w:rsid w:val="00BC151F"/>
    <w:rsid w:val="00BC1E13"/>
    <w:rsid w:val="00BC4A60"/>
    <w:rsid w:val="00BC63DD"/>
    <w:rsid w:val="00BD0531"/>
    <w:rsid w:val="00BE039E"/>
    <w:rsid w:val="00BE46B1"/>
    <w:rsid w:val="00BF53E4"/>
    <w:rsid w:val="00C01496"/>
    <w:rsid w:val="00C20C0A"/>
    <w:rsid w:val="00C24CDC"/>
    <w:rsid w:val="00C331A6"/>
    <w:rsid w:val="00C36486"/>
    <w:rsid w:val="00C367AE"/>
    <w:rsid w:val="00C378BF"/>
    <w:rsid w:val="00C4322A"/>
    <w:rsid w:val="00C55B21"/>
    <w:rsid w:val="00C633B6"/>
    <w:rsid w:val="00C64D0E"/>
    <w:rsid w:val="00C65418"/>
    <w:rsid w:val="00C77D81"/>
    <w:rsid w:val="00C81CF6"/>
    <w:rsid w:val="00C84F3C"/>
    <w:rsid w:val="00C937C8"/>
    <w:rsid w:val="00CB4652"/>
    <w:rsid w:val="00CB4AA0"/>
    <w:rsid w:val="00CB60BC"/>
    <w:rsid w:val="00CC308A"/>
    <w:rsid w:val="00CD0EA1"/>
    <w:rsid w:val="00CD4422"/>
    <w:rsid w:val="00CE16CC"/>
    <w:rsid w:val="00CE26DF"/>
    <w:rsid w:val="00CF4CF9"/>
    <w:rsid w:val="00CF7BD0"/>
    <w:rsid w:val="00D15DCF"/>
    <w:rsid w:val="00D21D58"/>
    <w:rsid w:val="00D31F44"/>
    <w:rsid w:val="00D363A3"/>
    <w:rsid w:val="00D54B56"/>
    <w:rsid w:val="00D70036"/>
    <w:rsid w:val="00D7152A"/>
    <w:rsid w:val="00D74993"/>
    <w:rsid w:val="00D803BB"/>
    <w:rsid w:val="00D849B7"/>
    <w:rsid w:val="00D94F4B"/>
    <w:rsid w:val="00DB6A7B"/>
    <w:rsid w:val="00DC08D2"/>
    <w:rsid w:val="00DC4AB8"/>
    <w:rsid w:val="00DC5C97"/>
    <w:rsid w:val="00DD201D"/>
    <w:rsid w:val="00DD222D"/>
    <w:rsid w:val="00DD64F6"/>
    <w:rsid w:val="00DE37A8"/>
    <w:rsid w:val="00DF4A99"/>
    <w:rsid w:val="00DF74D2"/>
    <w:rsid w:val="00E06418"/>
    <w:rsid w:val="00E125C7"/>
    <w:rsid w:val="00E14B18"/>
    <w:rsid w:val="00E1695E"/>
    <w:rsid w:val="00E23AE7"/>
    <w:rsid w:val="00E3296B"/>
    <w:rsid w:val="00E34085"/>
    <w:rsid w:val="00E354E0"/>
    <w:rsid w:val="00E42ABA"/>
    <w:rsid w:val="00E5280F"/>
    <w:rsid w:val="00E6544F"/>
    <w:rsid w:val="00E65DD6"/>
    <w:rsid w:val="00E712CA"/>
    <w:rsid w:val="00E9322D"/>
    <w:rsid w:val="00E9377C"/>
    <w:rsid w:val="00E93CCA"/>
    <w:rsid w:val="00EA04AA"/>
    <w:rsid w:val="00EA1EED"/>
    <w:rsid w:val="00EA2254"/>
    <w:rsid w:val="00EA796C"/>
    <w:rsid w:val="00EB5D12"/>
    <w:rsid w:val="00EB7CF1"/>
    <w:rsid w:val="00ED145F"/>
    <w:rsid w:val="00ED585F"/>
    <w:rsid w:val="00EE04E3"/>
    <w:rsid w:val="00EE3F22"/>
    <w:rsid w:val="00EF0077"/>
    <w:rsid w:val="00EF5A4E"/>
    <w:rsid w:val="00EF5ABE"/>
    <w:rsid w:val="00F000C9"/>
    <w:rsid w:val="00F07DBC"/>
    <w:rsid w:val="00F3099D"/>
    <w:rsid w:val="00F43FF9"/>
    <w:rsid w:val="00F50B2D"/>
    <w:rsid w:val="00F50CED"/>
    <w:rsid w:val="00F52E0A"/>
    <w:rsid w:val="00F53F6C"/>
    <w:rsid w:val="00F633BD"/>
    <w:rsid w:val="00F66C11"/>
    <w:rsid w:val="00F7051E"/>
    <w:rsid w:val="00F71CD0"/>
    <w:rsid w:val="00F76E96"/>
    <w:rsid w:val="00F81A78"/>
    <w:rsid w:val="00F86C83"/>
    <w:rsid w:val="00F973AF"/>
    <w:rsid w:val="00FB1D2C"/>
    <w:rsid w:val="00FB58F0"/>
    <w:rsid w:val="00FC1940"/>
    <w:rsid w:val="00FD1431"/>
    <w:rsid w:val="00FE3E25"/>
    <w:rsid w:val="00FF0C47"/>
    <w:rsid w:val="00FF3EBD"/>
    <w:rsid w:val="00FF3FBD"/>
    <w:rsid w:val="00FF59EF"/>
    <w:rsid w:val="00FF7E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B8"/>
    <w:pPr>
      <w:spacing w:after="200" w:line="360" w:lineRule="auto"/>
    </w:pPr>
    <w:rPr>
      <w:rFonts w:ascii="Arial" w:eastAsia="Times New Roman" w:hAnsi="Arial"/>
      <w:szCs w:val="24"/>
    </w:rPr>
  </w:style>
  <w:style w:type="paragraph" w:styleId="Heading1">
    <w:name w:val="heading 1"/>
    <w:basedOn w:val="Normal"/>
    <w:next w:val="Normal"/>
    <w:link w:val="Heading1Char1"/>
    <w:qFormat/>
    <w:rsid w:val="00930200"/>
    <w:pPr>
      <w:keepNext/>
      <w:pBdr>
        <w:bottom w:val="single" w:sz="4" w:space="1" w:color="auto"/>
      </w:pBdr>
      <w:spacing w:before="240" w:after="60"/>
      <w:outlineLvl w:val="0"/>
    </w:pPr>
    <w:rPr>
      <w:rFonts w:cs="Arial"/>
      <w:b/>
      <w:bCs/>
      <w:color w:val="365F91"/>
      <w:sz w:val="32"/>
      <w:szCs w:val="32"/>
    </w:rPr>
  </w:style>
  <w:style w:type="paragraph" w:styleId="Heading2">
    <w:name w:val="heading 2"/>
    <w:basedOn w:val="Normal"/>
    <w:next w:val="Normal"/>
    <w:link w:val="Heading2Char"/>
    <w:uiPriority w:val="9"/>
    <w:unhideWhenUsed/>
    <w:qFormat/>
    <w:rsid w:val="00930200"/>
    <w:pPr>
      <w:keepNext/>
      <w:keepLines/>
      <w:spacing w:before="200" w:after="0"/>
      <w:outlineLvl w:val="1"/>
    </w:pPr>
    <w:rPr>
      <w:rFonts w:cs="Arial"/>
      <w:b/>
      <w:color w:val="0072DA"/>
      <w:sz w:val="24"/>
    </w:rPr>
  </w:style>
  <w:style w:type="paragraph" w:styleId="Heading3">
    <w:name w:val="heading 3"/>
    <w:basedOn w:val="Normal"/>
    <w:next w:val="Normal"/>
    <w:link w:val="Heading3Char"/>
    <w:uiPriority w:val="9"/>
    <w:unhideWhenUsed/>
    <w:qFormat/>
    <w:rsid w:val="00930200"/>
    <w:pPr>
      <w:tabs>
        <w:tab w:val="center" w:pos="720"/>
        <w:tab w:val="right" w:pos="1080"/>
      </w:tabs>
      <w:spacing w:before="360" w:after="0"/>
      <w:outlineLvl w:val="2"/>
    </w:pPr>
    <w:rPr>
      <w:rFonts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2">
    <w:name w:val="LB2"/>
    <w:basedOn w:val="Normal"/>
    <w:rsid w:val="00596521"/>
    <w:pPr>
      <w:numPr>
        <w:ilvl w:val="1"/>
        <w:numId w:val="1"/>
      </w:numPr>
    </w:pPr>
  </w:style>
  <w:style w:type="character" w:customStyle="1" w:styleId="Heading1Char">
    <w:name w:val="Heading 1 Char"/>
    <w:uiPriority w:val="9"/>
    <w:rsid w:val="00CE1BA6"/>
    <w:rPr>
      <w:rFonts w:ascii="Cambria" w:eastAsia="Times New Roman" w:hAnsi="Cambria" w:cs="Times New Roman"/>
      <w:b/>
      <w:bCs/>
      <w:color w:val="365F91"/>
      <w:sz w:val="28"/>
      <w:szCs w:val="28"/>
    </w:rPr>
  </w:style>
  <w:style w:type="paragraph" w:customStyle="1" w:styleId="Style1">
    <w:name w:val="Style 1"/>
    <w:basedOn w:val="Normal"/>
    <w:link w:val="Style1Char"/>
    <w:uiPriority w:val="99"/>
    <w:rsid w:val="00CE1BA6"/>
    <w:pPr>
      <w:spacing w:before="120"/>
    </w:pPr>
    <w:rPr>
      <w:sz w:val="28"/>
      <w:szCs w:val="20"/>
    </w:rPr>
  </w:style>
  <w:style w:type="character" w:customStyle="1" w:styleId="Heading1Char1">
    <w:name w:val="Heading 1 Char1"/>
    <w:link w:val="Heading1"/>
    <w:locked/>
    <w:rsid w:val="00930200"/>
    <w:rPr>
      <w:rFonts w:ascii="Arial" w:eastAsia="Times New Roman" w:hAnsi="Arial" w:cs="Arial"/>
      <w:b/>
      <w:bCs/>
      <w:color w:val="365F91"/>
      <w:sz w:val="32"/>
      <w:szCs w:val="32"/>
    </w:rPr>
  </w:style>
  <w:style w:type="character" w:customStyle="1" w:styleId="Style1Char">
    <w:name w:val="Style 1 Char"/>
    <w:link w:val="Style1"/>
    <w:uiPriority w:val="99"/>
    <w:locked/>
    <w:rsid w:val="00CE1BA6"/>
    <w:rPr>
      <w:rFonts w:ascii="Times New Roman" w:eastAsia="Times New Roman" w:hAnsi="Times New Roman" w:cs="Times New Roman"/>
      <w:sz w:val="28"/>
      <w:szCs w:val="20"/>
    </w:rPr>
  </w:style>
  <w:style w:type="paragraph" w:styleId="Footer">
    <w:name w:val="footer"/>
    <w:basedOn w:val="Normal"/>
    <w:link w:val="FooterChar1"/>
    <w:uiPriority w:val="99"/>
    <w:rsid w:val="00CE1BA6"/>
    <w:pPr>
      <w:tabs>
        <w:tab w:val="center" w:pos="4320"/>
        <w:tab w:val="right" w:pos="8640"/>
      </w:tabs>
    </w:pPr>
  </w:style>
  <w:style w:type="character" w:customStyle="1" w:styleId="FooterChar">
    <w:name w:val="Footer Char"/>
    <w:uiPriority w:val="99"/>
    <w:rsid w:val="00CE1BA6"/>
    <w:rPr>
      <w:rFonts w:ascii="Times New Roman" w:eastAsia="Times New Roman" w:hAnsi="Times New Roman" w:cs="Times New Roman"/>
      <w:sz w:val="24"/>
      <w:szCs w:val="24"/>
    </w:rPr>
  </w:style>
  <w:style w:type="paragraph" w:customStyle="1" w:styleId="Style2">
    <w:name w:val="Style 2"/>
    <w:basedOn w:val="Normal"/>
    <w:uiPriority w:val="99"/>
    <w:rsid w:val="00CE1BA6"/>
    <w:pPr>
      <w:spacing w:before="60"/>
    </w:pPr>
    <w:rPr>
      <w:b/>
    </w:rPr>
  </w:style>
  <w:style w:type="character" w:customStyle="1" w:styleId="FooterChar1">
    <w:name w:val="Footer Char1"/>
    <w:link w:val="Footer"/>
    <w:uiPriority w:val="99"/>
    <w:locked/>
    <w:rsid w:val="00CE1BA6"/>
    <w:rPr>
      <w:rFonts w:ascii="Times New Roman" w:eastAsia="Times New Roman" w:hAnsi="Times New Roman" w:cs="Times New Roman"/>
      <w:sz w:val="24"/>
      <w:szCs w:val="24"/>
    </w:rPr>
  </w:style>
  <w:style w:type="paragraph" w:customStyle="1" w:styleId="CoverPageTitle">
    <w:name w:val="Cover Page Title"/>
    <w:basedOn w:val="Normal"/>
    <w:rsid w:val="00CE1BA6"/>
    <w:pPr>
      <w:jc w:val="center"/>
    </w:pPr>
    <w:rPr>
      <w:b/>
      <w:bCs/>
      <w:sz w:val="36"/>
    </w:rPr>
  </w:style>
  <w:style w:type="paragraph" w:customStyle="1" w:styleId="TableHeader">
    <w:name w:val="Table Header"/>
    <w:basedOn w:val="Normal"/>
    <w:uiPriority w:val="99"/>
    <w:rsid w:val="00CE1BA6"/>
    <w:rPr>
      <w:b/>
    </w:rPr>
  </w:style>
  <w:style w:type="paragraph" w:customStyle="1" w:styleId="TableText">
    <w:name w:val="Table Text"/>
    <w:basedOn w:val="Normal"/>
    <w:uiPriority w:val="99"/>
    <w:rsid w:val="00CE1BA6"/>
  </w:style>
  <w:style w:type="paragraph" w:customStyle="1" w:styleId="TableTextBold">
    <w:name w:val="Table Text Bold"/>
    <w:basedOn w:val="Normal"/>
    <w:autoRedefine/>
    <w:uiPriority w:val="99"/>
    <w:rsid w:val="005E304F"/>
    <w:rPr>
      <w:b/>
    </w:rPr>
  </w:style>
  <w:style w:type="paragraph" w:styleId="Header">
    <w:name w:val="header"/>
    <w:basedOn w:val="Normal"/>
    <w:link w:val="HeaderChar"/>
    <w:unhideWhenUsed/>
    <w:rsid w:val="000C70FC"/>
    <w:pPr>
      <w:tabs>
        <w:tab w:val="center" w:pos="4680"/>
        <w:tab w:val="right" w:pos="9360"/>
      </w:tabs>
    </w:pPr>
  </w:style>
  <w:style w:type="character" w:customStyle="1" w:styleId="HeaderChar">
    <w:name w:val="Header Char"/>
    <w:link w:val="Header"/>
    <w:rsid w:val="000C70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0FC"/>
    <w:rPr>
      <w:rFonts w:ascii="Tahoma" w:hAnsi="Tahoma" w:cs="Tahoma"/>
      <w:sz w:val="16"/>
      <w:szCs w:val="16"/>
    </w:rPr>
  </w:style>
  <w:style w:type="character" w:customStyle="1" w:styleId="BalloonTextChar">
    <w:name w:val="Balloon Text Char"/>
    <w:link w:val="BalloonText"/>
    <w:uiPriority w:val="99"/>
    <w:semiHidden/>
    <w:rsid w:val="000C70FC"/>
    <w:rPr>
      <w:rFonts w:ascii="Tahoma" w:eastAsia="Times New Roman" w:hAnsi="Tahoma" w:cs="Tahoma"/>
      <w:sz w:val="16"/>
      <w:szCs w:val="16"/>
    </w:rPr>
  </w:style>
  <w:style w:type="character" w:styleId="Hyperlink">
    <w:name w:val="Hyperlink"/>
    <w:rsid w:val="005F77ED"/>
    <w:rPr>
      <w:color w:val="0000FF"/>
      <w:u w:val="single"/>
    </w:rPr>
  </w:style>
  <w:style w:type="paragraph" w:styleId="BodyText2">
    <w:name w:val="Body Text 2"/>
    <w:basedOn w:val="Normal"/>
    <w:link w:val="BodyText2Char"/>
    <w:rsid w:val="005F77ED"/>
    <w:pPr>
      <w:tabs>
        <w:tab w:val="left" w:leader="dot" w:pos="5760"/>
      </w:tabs>
      <w:jc w:val="both"/>
    </w:pPr>
    <w:rPr>
      <w:sz w:val="22"/>
      <w:szCs w:val="20"/>
    </w:rPr>
  </w:style>
  <w:style w:type="character" w:customStyle="1" w:styleId="BodyText2Char">
    <w:name w:val="Body Text 2 Char"/>
    <w:link w:val="BodyText2"/>
    <w:rsid w:val="005F77ED"/>
    <w:rPr>
      <w:rFonts w:ascii="Times New Roman" w:eastAsia="Times New Roman" w:hAnsi="Times New Roman" w:cs="Times New Roman"/>
      <w:szCs w:val="20"/>
    </w:rPr>
  </w:style>
  <w:style w:type="paragraph" w:styleId="NormalWeb">
    <w:name w:val="Normal (Web)"/>
    <w:basedOn w:val="Normal"/>
    <w:rsid w:val="005F77ED"/>
    <w:pPr>
      <w:spacing w:before="100" w:beforeAutospacing="1" w:after="100" w:afterAutospacing="1"/>
    </w:pPr>
  </w:style>
  <w:style w:type="table" w:styleId="TableGrid">
    <w:name w:val="Table Grid"/>
    <w:basedOn w:val="TableNormal"/>
    <w:uiPriority w:val="59"/>
    <w:rsid w:val="007769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FD688B"/>
    <w:pPr>
      <w:spacing w:after="120"/>
    </w:pPr>
  </w:style>
  <w:style w:type="character" w:customStyle="1" w:styleId="BodyTextChar">
    <w:name w:val="Body Text Char"/>
    <w:link w:val="BodyText"/>
    <w:uiPriority w:val="99"/>
    <w:semiHidden/>
    <w:rsid w:val="00FD688B"/>
    <w:rPr>
      <w:rFonts w:ascii="Times New Roman" w:eastAsia="Times New Roman" w:hAnsi="Times New Roman"/>
      <w:sz w:val="24"/>
      <w:szCs w:val="24"/>
    </w:rPr>
  </w:style>
  <w:style w:type="character" w:styleId="CommentReference">
    <w:name w:val="annotation reference"/>
    <w:semiHidden/>
    <w:rsid w:val="00672D09"/>
    <w:rPr>
      <w:sz w:val="16"/>
      <w:szCs w:val="16"/>
    </w:rPr>
  </w:style>
  <w:style w:type="paragraph" w:styleId="CommentText">
    <w:name w:val="annotation text"/>
    <w:aliases w:val=" Char, Char Char Char Char Char Char"/>
    <w:basedOn w:val="Normal"/>
    <w:link w:val="CommentTextChar"/>
    <w:semiHidden/>
    <w:rsid w:val="00672D09"/>
    <w:rPr>
      <w:szCs w:val="20"/>
    </w:rPr>
  </w:style>
  <w:style w:type="paragraph" w:customStyle="1" w:styleId="ColorfulList-Accent11">
    <w:name w:val="Colorful List - Accent 11"/>
    <w:basedOn w:val="Normal"/>
    <w:link w:val="ColorfulList-Accent1Char"/>
    <w:qFormat/>
    <w:rsid w:val="00DF1693"/>
    <w:pPr>
      <w:spacing w:line="276" w:lineRule="auto"/>
      <w:ind w:left="720"/>
      <w:contextualSpacing/>
    </w:pPr>
    <w:rPr>
      <w:rFonts w:ascii="Calibri" w:hAnsi="Calibri"/>
      <w:sz w:val="22"/>
      <w:szCs w:val="22"/>
    </w:rPr>
  </w:style>
  <w:style w:type="character" w:customStyle="1" w:styleId="ColorfulList-Accent1Char">
    <w:name w:val="Colorful List - Accent 1 Char"/>
    <w:link w:val="ColorfulList-Accent11"/>
    <w:locked/>
    <w:rsid w:val="00DF1693"/>
    <w:rPr>
      <w:rFonts w:ascii="Calibri" w:hAnsi="Calibri"/>
      <w:sz w:val="22"/>
      <w:szCs w:val="22"/>
      <w:lang w:val="en-US" w:eastAsia="en-US" w:bidi="ar-SA"/>
    </w:rPr>
  </w:style>
  <w:style w:type="paragraph" w:customStyle="1" w:styleId="TableBullet1">
    <w:name w:val="Table Bullet 1"/>
    <w:basedOn w:val="Normal"/>
    <w:rsid w:val="00053BC8"/>
    <w:pPr>
      <w:numPr>
        <w:numId w:val="5"/>
      </w:numPr>
    </w:pPr>
  </w:style>
  <w:style w:type="paragraph" w:customStyle="1" w:styleId="TableBullet2">
    <w:name w:val="Table Bullet 2"/>
    <w:basedOn w:val="Normal"/>
    <w:rsid w:val="00053BC8"/>
    <w:pPr>
      <w:numPr>
        <w:ilvl w:val="1"/>
        <w:numId w:val="5"/>
      </w:numPr>
    </w:pPr>
    <w:rPr>
      <w:color w:val="0000FF"/>
    </w:rPr>
  </w:style>
  <w:style w:type="paragraph" w:styleId="CommentSubject">
    <w:name w:val="annotation subject"/>
    <w:basedOn w:val="CommentText"/>
    <w:next w:val="CommentText"/>
    <w:semiHidden/>
    <w:rsid w:val="001D1539"/>
    <w:rPr>
      <w:rFonts w:ascii="Times New Roman" w:hAnsi="Times New Roman"/>
      <w:b/>
      <w:bCs/>
    </w:rPr>
  </w:style>
  <w:style w:type="character" w:customStyle="1" w:styleId="CommentTextChar">
    <w:name w:val="Comment Text Char"/>
    <w:aliases w:val=" Char Char, Char Char Char Char Char Char Char"/>
    <w:link w:val="CommentText"/>
    <w:locked/>
    <w:rsid w:val="00BB706A"/>
    <w:rPr>
      <w:rFonts w:ascii="Arial" w:hAnsi="Arial"/>
      <w:lang w:val="en-US" w:eastAsia="en-US" w:bidi="ar-SA"/>
    </w:rPr>
  </w:style>
  <w:style w:type="character" w:styleId="FollowedHyperlink">
    <w:name w:val="FollowedHyperlink"/>
    <w:uiPriority w:val="99"/>
    <w:semiHidden/>
    <w:unhideWhenUsed/>
    <w:rsid w:val="00F43042"/>
    <w:rPr>
      <w:color w:val="800080"/>
      <w:u w:val="single"/>
    </w:rPr>
  </w:style>
  <w:style w:type="paragraph" w:customStyle="1" w:styleId="ColorfulShading-Accent11">
    <w:name w:val="Colorful Shading - Accent 11"/>
    <w:hidden/>
    <w:uiPriority w:val="99"/>
    <w:semiHidden/>
    <w:rsid w:val="00760134"/>
    <w:rPr>
      <w:rFonts w:ascii="Times New Roman" w:eastAsia="Times New Roman" w:hAnsi="Times New Roman"/>
      <w:sz w:val="24"/>
      <w:szCs w:val="24"/>
    </w:rPr>
  </w:style>
  <w:style w:type="paragraph" w:customStyle="1" w:styleId="tableheader0">
    <w:name w:val="tableheader"/>
    <w:basedOn w:val="Normal"/>
    <w:rsid w:val="00B3213B"/>
    <w:rPr>
      <w:b/>
      <w:bCs/>
    </w:rPr>
  </w:style>
  <w:style w:type="paragraph" w:customStyle="1" w:styleId="tabletext0">
    <w:name w:val="tabletext"/>
    <w:basedOn w:val="Normal"/>
    <w:rsid w:val="00B3213B"/>
  </w:style>
  <w:style w:type="paragraph" w:customStyle="1" w:styleId="tabletextbold0">
    <w:name w:val="tabletextbold"/>
    <w:basedOn w:val="Normal"/>
    <w:rsid w:val="00B3213B"/>
    <w:rPr>
      <w:b/>
      <w:bCs/>
    </w:rPr>
  </w:style>
  <w:style w:type="paragraph" w:styleId="EndnoteText">
    <w:name w:val="endnote text"/>
    <w:basedOn w:val="Normal"/>
    <w:link w:val="EndnoteTextChar"/>
    <w:uiPriority w:val="99"/>
    <w:semiHidden/>
    <w:unhideWhenUsed/>
    <w:rsid w:val="00650AB5"/>
    <w:rPr>
      <w:szCs w:val="20"/>
    </w:rPr>
  </w:style>
  <w:style w:type="character" w:customStyle="1" w:styleId="EndnoteTextChar">
    <w:name w:val="Endnote Text Char"/>
    <w:link w:val="EndnoteText"/>
    <w:uiPriority w:val="99"/>
    <w:semiHidden/>
    <w:rsid w:val="00650AB5"/>
    <w:rPr>
      <w:rFonts w:ascii="Times New Roman" w:eastAsia="Times New Roman" w:hAnsi="Times New Roman"/>
    </w:rPr>
  </w:style>
  <w:style w:type="character" w:styleId="EndnoteReference">
    <w:name w:val="endnote reference"/>
    <w:uiPriority w:val="99"/>
    <w:semiHidden/>
    <w:unhideWhenUsed/>
    <w:rsid w:val="00650AB5"/>
    <w:rPr>
      <w:vertAlign w:val="superscript"/>
    </w:rPr>
  </w:style>
  <w:style w:type="paragraph" w:styleId="FootnoteText">
    <w:name w:val="footnote text"/>
    <w:basedOn w:val="Normal"/>
    <w:link w:val="FootnoteTextChar"/>
    <w:uiPriority w:val="99"/>
    <w:semiHidden/>
    <w:unhideWhenUsed/>
    <w:rsid w:val="00650AB5"/>
    <w:rPr>
      <w:szCs w:val="20"/>
    </w:rPr>
  </w:style>
  <w:style w:type="character" w:customStyle="1" w:styleId="FootnoteTextChar">
    <w:name w:val="Footnote Text Char"/>
    <w:link w:val="FootnoteText"/>
    <w:uiPriority w:val="99"/>
    <w:semiHidden/>
    <w:rsid w:val="00650AB5"/>
    <w:rPr>
      <w:rFonts w:ascii="Times New Roman" w:eastAsia="Times New Roman" w:hAnsi="Times New Roman"/>
    </w:rPr>
  </w:style>
  <w:style w:type="character" w:styleId="FootnoteReference">
    <w:name w:val="footnote reference"/>
    <w:uiPriority w:val="99"/>
    <w:semiHidden/>
    <w:unhideWhenUsed/>
    <w:rsid w:val="00650AB5"/>
    <w:rPr>
      <w:vertAlign w:val="superscript"/>
    </w:rPr>
  </w:style>
  <w:style w:type="character" w:customStyle="1" w:styleId="FooterChar2">
    <w:name w:val="Footer Char2"/>
    <w:uiPriority w:val="99"/>
    <w:locked/>
    <w:rsid w:val="004A4196"/>
    <w:rPr>
      <w:rFonts w:ascii="Times New Roman" w:eastAsia="Times New Roman" w:hAnsi="Times New Roman" w:cs="Times New Roman"/>
      <w:sz w:val="24"/>
      <w:szCs w:val="24"/>
    </w:rPr>
  </w:style>
  <w:style w:type="paragraph" w:styleId="Revision">
    <w:name w:val="Revision"/>
    <w:hidden/>
    <w:uiPriority w:val="99"/>
    <w:semiHidden/>
    <w:rsid w:val="00A50930"/>
    <w:rPr>
      <w:rFonts w:ascii="Times New Roman" w:eastAsia="Times New Roman" w:hAnsi="Times New Roman"/>
      <w:sz w:val="24"/>
      <w:szCs w:val="24"/>
    </w:rPr>
  </w:style>
  <w:style w:type="character" w:customStyle="1" w:styleId="Heading2Char">
    <w:name w:val="Heading 2 Char"/>
    <w:link w:val="Heading2"/>
    <w:uiPriority w:val="9"/>
    <w:rsid w:val="00930200"/>
    <w:rPr>
      <w:rFonts w:ascii="Arial" w:eastAsia="Times New Roman" w:hAnsi="Arial" w:cs="Arial"/>
      <w:b/>
      <w:color w:val="0072DA"/>
      <w:sz w:val="24"/>
      <w:szCs w:val="24"/>
    </w:rPr>
  </w:style>
  <w:style w:type="table" w:customStyle="1" w:styleId="TableGrid1">
    <w:name w:val="Table Grid1"/>
    <w:basedOn w:val="TableNormal"/>
    <w:next w:val="TableGrid"/>
    <w:uiPriority w:val="59"/>
    <w:rsid w:val="007B0C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84F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930200"/>
    <w:rPr>
      <w:rFonts w:ascii="Arial" w:eastAsia="Times New Roman" w:hAnsi="Arial" w:cs="Arial"/>
      <w:u w:val="single"/>
    </w:rPr>
  </w:style>
  <w:style w:type="paragraph" w:styleId="ListParagraph">
    <w:name w:val="List Paragraph"/>
    <w:basedOn w:val="Normal"/>
    <w:link w:val="ListParagraphChar"/>
    <w:uiPriority w:val="34"/>
    <w:qFormat/>
    <w:rsid w:val="008A171A"/>
    <w:pPr>
      <w:ind w:left="720"/>
      <w:contextualSpacing/>
    </w:pPr>
    <w:rPr>
      <w:rFonts w:asciiTheme="minorHAnsi" w:eastAsiaTheme="minorEastAsia" w:hAnsiTheme="minorHAnsi" w:cstheme="minorBidi"/>
      <w:sz w:val="22"/>
      <w:szCs w:val="22"/>
    </w:rPr>
  </w:style>
  <w:style w:type="paragraph" w:customStyle="1" w:styleId="ISSAbullet">
    <w:name w:val="ISSA_bullet"/>
    <w:basedOn w:val="Normal"/>
    <w:link w:val="ISSAbulletChar"/>
    <w:qFormat/>
    <w:rsid w:val="008A171A"/>
    <w:pPr>
      <w:numPr>
        <w:numId w:val="41"/>
      </w:numPr>
      <w:spacing w:after="0"/>
    </w:pPr>
    <w:rPr>
      <w:rFonts w:eastAsiaTheme="minorEastAsia" w:cs="Arial"/>
    </w:rPr>
  </w:style>
  <w:style w:type="character" w:customStyle="1" w:styleId="ISSAbulletChar">
    <w:name w:val="ISSA_bullet Char"/>
    <w:basedOn w:val="DefaultParagraphFont"/>
    <w:link w:val="ISSAbullet"/>
    <w:rsid w:val="008A171A"/>
    <w:rPr>
      <w:rFonts w:ascii="Arial" w:eastAsiaTheme="minorEastAsia" w:hAnsi="Arial" w:cs="Arial"/>
      <w:szCs w:val="24"/>
    </w:rPr>
  </w:style>
  <w:style w:type="paragraph" w:customStyle="1" w:styleId="ISSAbulletLevel2">
    <w:name w:val="ISSA_bullet Level 2"/>
    <w:basedOn w:val="ISSAbullet"/>
    <w:qFormat/>
    <w:rsid w:val="008A171A"/>
    <w:pPr>
      <w:numPr>
        <w:ilvl w:val="1"/>
      </w:numPr>
      <w:tabs>
        <w:tab w:val="clear" w:pos="1440"/>
      </w:tabs>
    </w:pPr>
    <w:rPr>
      <w:lang w:eastAsia="ar-SA"/>
    </w:rPr>
  </w:style>
  <w:style w:type="character" w:customStyle="1" w:styleId="ListParagraphChar">
    <w:name w:val="List Paragraph Char"/>
    <w:basedOn w:val="DefaultParagraphFont"/>
    <w:link w:val="ListParagraph"/>
    <w:uiPriority w:val="34"/>
    <w:locked/>
    <w:rsid w:val="008A171A"/>
    <w:rPr>
      <w:rFonts w:asciiTheme="minorHAnsi" w:eastAsiaTheme="minorEastAsia" w:hAnsiTheme="minorHAnsi" w:cstheme="minorBidi"/>
      <w:sz w:val="22"/>
      <w:szCs w:val="22"/>
    </w:rPr>
  </w:style>
  <w:style w:type="paragraph" w:customStyle="1" w:styleId="TableHeading">
    <w:name w:val="Table Heading"/>
    <w:basedOn w:val="Normal"/>
    <w:qFormat/>
    <w:rsid w:val="008A171A"/>
    <w:pPr>
      <w:spacing w:after="0" w:line="240" w:lineRule="auto"/>
      <w:jc w:val="center"/>
    </w:pPr>
    <w:rPr>
      <w:rFonts w:eastAsiaTheme="minorEastAsia" w:cs="Arial"/>
      <w:b/>
      <w:color w:val="FFFFFF" w:themeColor="background1"/>
      <w:sz w:val="16"/>
      <w:szCs w:val="22"/>
    </w:rPr>
  </w:style>
  <w:style w:type="table" w:customStyle="1" w:styleId="TableGrid12">
    <w:name w:val="Table Grid12"/>
    <w:basedOn w:val="TableNormal"/>
    <w:next w:val="TableGrid"/>
    <w:uiPriority w:val="59"/>
    <w:rsid w:val="00C93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32FCA"/>
    <w:pPr>
      <w:spacing w:after="200" w:line="276" w:lineRule="auto"/>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SSATableText">
    <w:name w:val="ISSA Table Text"/>
    <w:basedOn w:val="Normal"/>
    <w:link w:val="ISSATableTextChar"/>
    <w:rsid w:val="00CF7BD0"/>
    <w:pPr>
      <w:spacing w:after="240"/>
    </w:pPr>
    <w:rPr>
      <w:rFonts w:eastAsiaTheme="minorEastAsia" w:cs="Arial"/>
      <w:bCs/>
      <w:iCs/>
      <w:szCs w:val="20"/>
    </w:rPr>
  </w:style>
  <w:style w:type="character" w:customStyle="1" w:styleId="ISSATableTextChar">
    <w:name w:val="ISSA Table Text Char"/>
    <w:basedOn w:val="DefaultParagraphFont"/>
    <w:link w:val="ISSATableText"/>
    <w:rsid w:val="00CF7BD0"/>
    <w:rPr>
      <w:rFonts w:ascii="Arial" w:eastAsiaTheme="minorEastAsia" w:hAnsi="Arial" w:cs="Arial"/>
      <w:bCs/>
      <w:iCs/>
    </w:rPr>
  </w:style>
  <w:style w:type="paragraph" w:customStyle="1" w:styleId="ISSATableLesson">
    <w:name w:val="ISSA Table Lesson"/>
    <w:basedOn w:val="Normal"/>
    <w:link w:val="ISSATableLessonChar"/>
    <w:rsid w:val="00CF7BD0"/>
    <w:pPr>
      <w:spacing w:before="240" w:after="240"/>
    </w:pPr>
    <w:rPr>
      <w:rFonts w:eastAsiaTheme="minorEastAsia" w:cs="Arial"/>
      <w:b/>
      <w:bCs/>
      <w:i/>
      <w:iCs/>
      <w:color w:val="004B92"/>
      <w:szCs w:val="20"/>
    </w:rPr>
  </w:style>
  <w:style w:type="character" w:customStyle="1" w:styleId="ISSATableLessonChar">
    <w:name w:val="ISSA Table Lesson Char"/>
    <w:basedOn w:val="DefaultParagraphFont"/>
    <w:link w:val="ISSATableLesson"/>
    <w:rsid w:val="00CF7BD0"/>
    <w:rPr>
      <w:rFonts w:ascii="Arial" w:eastAsiaTheme="minorEastAsia" w:hAnsi="Arial" w:cs="Arial"/>
      <w:b/>
      <w:bCs/>
      <w:i/>
      <w:iCs/>
      <w:color w:val="004B92"/>
    </w:rPr>
  </w:style>
  <w:style w:type="paragraph" w:customStyle="1" w:styleId="ISSATableBullet">
    <w:name w:val="ISSA Table Bullet"/>
    <w:basedOn w:val="ISSAbullet"/>
    <w:link w:val="ISSATableBulletChar"/>
    <w:qFormat/>
    <w:rsid w:val="00CF7BD0"/>
    <w:pPr>
      <w:numPr>
        <w:numId w:val="46"/>
      </w:numPr>
      <w:tabs>
        <w:tab w:val="num" w:pos="252"/>
      </w:tabs>
      <w:ind w:left="252" w:hanging="252"/>
    </w:pPr>
  </w:style>
  <w:style w:type="character" w:customStyle="1" w:styleId="ISSATableBulletChar">
    <w:name w:val="ISSA Table Bullet Char"/>
    <w:basedOn w:val="ISSAbulletChar"/>
    <w:link w:val="ISSATableBullet"/>
    <w:rsid w:val="00CF7BD0"/>
    <w:rPr>
      <w:rFonts w:ascii="Arial" w:eastAsiaTheme="minorEastAsia" w:hAnsi="Arial" w:cs="Arial"/>
      <w:szCs w:val="24"/>
    </w:rPr>
  </w:style>
  <w:style w:type="paragraph" w:customStyle="1" w:styleId="ISSATableLastBullet">
    <w:name w:val="ISSA Table Last Bullet"/>
    <w:basedOn w:val="ListParagraph"/>
    <w:link w:val="ISSATableLastBulletChar"/>
    <w:qFormat/>
    <w:rsid w:val="00CF7BD0"/>
    <w:pPr>
      <w:spacing w:line="276" w:lineRule="auto"/>
      <w:ind w:left="360" w:hanging="360"/>
    </w:pPr>
    <w:rPr>
      <w:rFonts w:ascii="Arial" w:eastAsia="Calibri" w:hAnsi="Arial" w:cs="Arial"/>
      <w:bCs/>
      <w:iCs/>
      <w:sz w:val="20"/>
      <w:szCs w:val="20"/>
    </w:rPr>
  </w:style>
  <w:style w:type="character" w:customStyle="1" w:styleId="ISSATableLastBulletChar">
    <w:name w:val="ISSA Table Last Bullet Char"/>
    <w:basedOn w:val="DefaultParagraphFont"/>
    <w:link w:val="ISSATableLastBullet"/>
    <w:rsid w:val="00CF7BD0"/>
    <w:rPr>
      <w:rFonts w:ascii="Arial" w:hAnsi="Arial" w:cs="Arial"/>
      <w:bCs/>
      <w:iCs/>
    </w:rPr>
  </w:style>
  <w:style w:type="character" w:customStyle="1" w:styleId="UnresolvedMention1">
    <w:name w:val="Unresolved Mention1"/>
    <w:basedOn w:val="DefaultParagraphFont"/>
    <w:uiPriority w:val="99"/>
    <w:rsid w:val="006F1BE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37166778">
      <w:bodyDiv w:val="1"/>
      <w:marLeft w:val="0"/>
      <w:marRight w:val="0"/>
      <w:marTop w:val="0"/>
      <w:marBottom w:val="0"/>
      <w:divBdr>
        <w:top w:val="none" w:sz="0" w:space="0" w:color="auto"/>
        <w:left w:val="none" w:sz="0" w:space="0" w:color="auto"/>
        <w:bottom w:val="none" w:sz="0" w:space="0" w:color="auto"/>
        <w:right w:val="none" w:sz="0" w:space="0" w:color="auto"/>
      </w:divBdr>
    </w:div>
    <w:div w:id="956956937">
      <w:bodyDiv w:val="1"/>
      <w:marLeft w:val="0"/>
      <w:marRight w:val="0"/>
      <w:marTop w:val="0"/>
      <w:marBottom w:val="0"/>
      <w:divBdr>
        <w:top w:val="none" w:sz="0" w:space="0" w:color="auto"/>
        <w:left w:val="none" w:sz="0" w:space="0" w:color="auto"/>
        <w:bottom w:val="none" w:sz="0" w:space="0" w:color="auto"/>
        <w:right w:val="none" w:sz="0" w:space="0" w:color="auto"/>
      </w:divBdr>
    </w:div>
    <w:div w:id="1790857050">
      <w:bodyDiv w:val="1"/>
      <w:marLeft w:val="0"/>
      <w:marRight w:val="0"/>
      <w:marTop w:val="0"/>
      <w:marBottom w:val="0"/>
      <w:divBdr>
        <w:top w:val="none" w:sz="0" w:space="0" w:color="auto"/>
        <w:left w:val="none" w:sz="0" w:space="0" w:color="auto"/>
        <w:bottom w:val="none" w:sz="0" w:space="0" w:color="auto"/>
        <w:right w:val="none" w:sz="0" w:space="0" w:color="auto"/>
      </w:divBdr>
    </w:div>
    <w:div w:id="20487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a.Mills@ucumberlands.edu" TargetMode="External"/><Relationship Id="rId13" Type="http://schemas.openxmlformats.org/officeDocument/2006/relationships/hyperlink" Target="https://www.pcisecuritystandards.org/index.s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il-officialsite.com/home/home.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gov/privacy/privacyinitiatives/glbac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d.gov/policy/gen/reg/ferpa/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cgb/consumerfacts/cipa.html" TargetMode="External"/><Relationship Id="rId14" Type="http://schemas.openxmlformats.org/officeDocument/2006/relationships/hyperlink" Target="http://www.rmahq.org/RMA/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2989-D35F-450E-9013-196D341B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Number Course Title</vt:lpstr>
    </vt:vector>
  </TitlesOfParts>
  <Company>Toshiba</Company>
  <LinksUpToDate>false</LinksUpToDate>
  <CharactersWithSpaces>11271</CharactersWithSpaces>
  <SharedDoc>false</SharedDoc>
  <HLinks>
    <vt:vector size="12" baseType="variant">
      <vt:variant>
        <vt:i4>1769537</vt:i4>
      </vt:variant>
      <vt:variant>
        <vt:i4>3</vt:i4>
      </vt:variant>
      <vt:variant>
        <vt:i4>0</vt:i4>
      </vt:variant>
      <vt:variant>
        <vt:i4>5</vt:i4>
      </vt:variant>
      <vt:variant>
        <vt:lpwstr>http://www.ftc.gov/privacy/privacyinitiatives/glbact.html</vt:lpwstr>
      </vt:variant>
      <vt:variant>
        <vt:lpwstr/>
      </vt:variant>
      <vt:variant>
        <vt:i4>4587591</vt:i4>
      </vt:variant>
      <vt:variant>
        <vt:i4>0</vt:i4>
      </vt:variant>
      <vt:variant>
        <vt:i4>0</vt:i4>
      </vt:variant>
      <vt:variant>
        <vt:i4>5</vt:i4>
      </vt:variant>
      <vt:variant>
        <vt:lpwstr>http://ed.gov/policy/gen/reg/ferpa/index.html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Course Title</dc:title>
  <dc:creator>09690002</dc:creator>
  <cp:lastModifiedBy>Hellen</cp:lastModifiedBy>
  <cp:revision>2</cp:revision>
  <cp:lastPrinted>2017-12-31T22:25:00Z</cp:lastPrinted>
  <dcterms:created xsi:type="dcterms:W3CDTF">2018-05-07T01:45:00Z</dcterms:created>
  <dcterms:modified xsi:type="dcterms:W3CDTF">2018-05-07T01:45:00Z</dcterms:modified>
</cp:coreProperties>
</file>