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30EE5" w14:textId="77777777" w:rsidR="00670B3B" w:rsidRDefault="00670B3B" w:rsidP="00F027E4">
      <w:pPr>
        <w:spacing w:line="480" w:lineRule="auto"/>
        <w:rPr>
          <w:rFonts w:ascii="Times New Roman" w:hAnsi="Times New Roman" w:cs="Times New Roman"/>
          <w:sz w:val="24"/>
          <w:szCs w:val="24"/>
        </w:rPr>
      </w:pPr>
      <w:bookmarkStart w:id="0" w:name="_GoBack"/>
      <w:bookmarkEnd w:id="0"/>
    </w:p>
    <w:p w14:paraId="573F2D8C" w14:textId="77777777" w:rsidR="00670B3B" w:rsidRPr="00670B3B" w:rsidRDefault="00670B3B" w:rsidP="00670B3B">
      <w:pPr>
        <w:spacing w:line="480" w:lineRule="auto"/>
        <w:jc w:val="center"/>
        <w:rPr>
          <w:rFonts w:ascii="Times New Roman" w:hAnsi="Times New Roman" w:cs="Times New Roman"/>
          <w:i/>
          <w:sz w:val="24"/>
          <w:szCs w:val="24"/>
        </w:rPr>
      </w:pPr>
      <w:r>
        <w:rPr>
          <w:rFonts w:ascii="Times New Roman" w:hAnsi="Times New Roman" w:cs="Times New Roman"/>
          <w:i/>
          <w:sz w:val="24"/>
          <w:szCs w:val="24"/>
        </w:rPr>
        <w:t>Wayfair, Inc. v. South Dakota</w:t>
      </w:r>
    </w:p>
    <w:p w14:paraId="2DC34334" w14:textId="77777777" w:rsidR="00670B3B" w:rsidRDefault="00A47EA1" w:rsidP="00A47EA1">
      <w:pPr>
        <w:spacing w:line="480" w:lineRule="auto"/>
        <w:rPr>
          <w:rFonts w:ascii="Times New Roman" w:hAnsi="Times New Roman" w:cs="Times New Roman"/>
          <w:sz w:val="24"/>
          <w:szCs w:val="24"/>
        </w:rPr>
      </w:pPr>
      <w:r>
        <w:rPr>
          <w:rFonts w:ascii="Times New Roman" w:hAnsi="Times New Roman" w:cs="Times New Roman"/>
          <w:sz w:val="24"/>
          <w:szCs w:val="24"/>
        </w:rPr>
        <w:tab/>
      </w:r>
      <w:r w:rsidR="00EA6806">
        <w:rPr>
          <w:rFonts w:ascii="Times New Roman" w:hAnsi="Times New Roman" w:cs="Times New Roman"/>
          <w:sz w:val="24"/>
          <w:szCs w:val="24"/>
        </w:rPr>
        <w:t xml:space="preserve">Although the case of </w:t>
      </w:r>
      <w:r w:rsidR="00EA6806">
        <w:rPr>
          <w:rFonts w:ascii="Times New Roman" w:hAnsi="Times New Roman" w:cs="Times New Roman"/>
          <w:i/>
          <w:sz w:val="24"/>
          <w:szCs w:val="24"/>
        </w:rPr>
        <w:t xml:space="preserve">Wayfair, Inc. v. South Dakota </w:t>
      </w:r>
      <w:r w:rsidR="00EA6806">
        <w:rPr>
          <w:rFonts w:ascii="Times New Roman" w:hAnsi="Times New Roman" w:cs="Times New Roman"/>
          <w:sz w:val="24"/>
          <w:szCs w:val="24"/>
        </w:rPr>
        <w:t xml:space="preserve">deals with the Dormant Commerce Clause and a State’s ability to tax retailers who do not have a physical presence within their State, </w:t>
      </w:r>
      <w:r w:rsidR="00EA6806">
        <w:rPr>
          <w:rFonts w:ascii="Times New Roman" w:hAnsi="Times New Roman" w:cs="Times New Roman"/>
          <w:i/>
          <w:sz w:val="24"/>
          <w:szCs w:val="24"/>
        </w:rPr>
        <w:t xml:space="preserve">Wayfair, Inc. </w:t>
      </w:r>
      <w:r w:rsidR="00EA6806">
        <w:rPr>
          <w:rFonts w:ascii="Times New Roman" w:hAnsi="Times New Roman" w:cs="Times New Roman"/>
          <w:sz w:val="24"/>
          <w:szCs w:val="24"/>
        </w:rPr>
        <w:t xml:space="preserve">deals more broadly with the value of precedent and how the law must adapt to evolving technologies.  </w:t>
      </w:r>
      <w:r>
        <w:rPr>
          <w:rFonts w:ascii="Times New Roman" w:hAnsi="Times New Roman" w:cs="Times New Roman"/>
          <w:i/>
          <w:sz w:val="24"/>
          <w:szCs w:val="24"/>
        </w:rPr>
        <w:t xml:space="preserve">Wayfair v. South Dakota, </w:t>
      </w:r>
      <w:r>
        <w:rPr>
          <w:rFonts w:ascii="Times New Roman" w:hAnsi="Times New Roman" w:cs="Times New Roman"/>
          <w:sz w:val="24"/>
          <w:szCs w:val="24"/>
        </w:rPr>
        <w:t>901 N.W.2d 754, 755 (S.D. 2017)</w:t>
      </w:r>
      <w:r w:rsidR="00EA6806">
        <w:rPr>
          <w:rFonts w:ascii="Times New Roman" w:hAnsi="Times New Roman" w:cs="Times New Roman"/>
          <w:sz w:val="24"/>
          <w:szCs w:val="24"/>
        </w:rPr>
        <w:t xml:space="preserve">.  </w:t>
      </w:r>
      <w:r w:rsidR="00EA6806">
        <w:rPr>
          <w:rFonts w:ascii="Times New Roman" w:hAnsi="Times New Roman" w:cs="Times New Roman"/>
          <w:i/>
          <w:sz w:val="24"/>
          <w:szCs w:val="24"/>
        </w:rPr>
        <w:t>Wayfair</w:t>
      </w:r>
      <w:r w:rsidR="00393CC3">
        <w:rPr>
          <w:rFonts w:ascii="Times New Roman" w:hAnsi="Times New Roman" w:cs="Times New Roman"/>
          <w:sz w:val="24"/>
          <w:szCs w:val="24"/>
        </w:rPr>
        <w:t xml:space="preserve">, a case </w:t>
      </w:r>
      <w:r w:rsidR="00670B3B">
        <w:rPr>
          <w:rFonts w:ascii="Times New Roman" w:hAnsi="Times New Roman" w:cs="Times New Roman"/>
          <w:sz w:val="24"/>
          <w:szCs w:val="24"/>
        </w:rPr>
        <w:t xml:space="preserve">which is currently pending before the U.S. Supreme Court, began when South Dakota passed a State statute which required businesses with no in-state presence in South Dakota to remit sales taxes on revenue derived in South Dakota.  S.D. Codified Laws § 10-45-27.3 (2018).  This statute was passed in direct contradiction with Supreme Court precedent which has held that businesses with no physical presence within a State cannot be taxed on account of the Dormant Commerce Clause.  </w:t>
      </w:r>
      <w:r w:rsidR="00670B3B">
        <w:rPr>
          <w:rFonts w:ascii="Times New Roman" w:hAnsi="Times New Roman" w:cs="Times New Roman"/>
          <w:i/>
          <w:sz w:val="24"/>
          <w:szCs w:val="24"/>
        </w:rPr>
        <w:t xml:space="preserve">Quill Corp. v. N.D., </w:t>
      </w:r>
      <w:r w:rsidR="00670B3B">
        <w:rPr>
          <w:rFonts w:ascii="Times New Roman" w:hAnsi="Times New Roman" w:cs="Times New Roman"/>
          <w:sz w:val="24"/>
          <w:szCs w:val="24"/>
        </w:rPr>
        <w:t xml:space="preserve">504 U.S. 298 (1992).  South Dakota has in essence asked the Court to overrule </w:t>
      </w:r>
      <w:r w:rsidR="00670B3B">
        <w:rPr>
          <w:rFonts w:ascii="Times New Roman" w:hAnsi="Times New Roman" w:cs="Times New Roman"/>
          <w:i/>
          <w:sz w:val="24"/>
          <w:szCs w:val="24"/>
        </w:rPr>
        <w:t xml:space="preserve">Quill, </w:t>
      </w:r>
      <w:r w:rsidR="00670B3B">
        <w:rPr>
          <w:rFonts w:ascii="Times New Roman" w:hAnsi="Times New Roman" w:cs="Times New Roman"/>
          <w:sz w:val="24"/>
          <w:szCs w:val="24"/>
        </w:rPr>
        <w:t xml:space="preserve">along with much of its rule-making pertaining the Dormant Commerce Clause, a section of the Constitution which prevents States from interfering with interstate commerce.  </w:t>
      </w:r>
      <w:r w:rsidR="00670B3B">
        <w:rPr>
          <w:rFonts w:ascii="Times New Roman" w:hAnsi="Times New Roman" w:cs="Times New Roman"/>
          <w:i/>
          <w:sz w:val="24"/>
          <w:szCs w:val="24"/>
        </w:rPr>
        <w:t xml:space="preserve">Wayfair, </w:t>
      </w:r>
      <w:r w:rsidR="00670B3B">
        <w:rPr>
          <w:rFonts w:ascii="Times New Roman" w:hAnsi="Times New Roman" w:cs="Times New Roman"/>
          <w:sz w:val="24"/>
          <w:szCs w:val="24"/>
        </w:rPr>
        <w:t>901 N.W. at 760.</w:t>
      </w:r>
    </w:p>
    <w:p w14:paraId="36F5F895" w14:textId="77777777" w:rsidR="00393CC3" w:rsidRPr="00EA6806" w:rsidRDefault="00393CC3" w:rsidP="00A47EA1">
      <w:pPr>
        <w:spacing w:line="480" w:lineRule="auto"/>
        <w:rPr>
          <w:rFonts w:ascii="Times New Roman" w:hAnsi="Times New Roman" w:cs="Times New Roman"/>
          <w:i/>
          <w:sz w:val="24"/>
          <w:szCs w:val="24"/>
        </w:rPr>
      </w:pPr>
      <w:r>
        <w:rPr>
          <w:rFonts w:ascii="Times New Roman" w:hAnsi="Times New Roman" w:cs="Times New Roman"/>
          <w:sz w:val="24"/>
          <w:szCs w:val="24"/>
        </w:rPr>
        <w:tab/>
      </w:r>
      <w:r w:rsidR="00EA6806">
        <w:rPr>
          <w:rFonts w:ascii="Times New Roman" w:hAnsi="Times New Roman" w:cs="Times New Roman"/>
          <w:sz w:val="24"/>
          <w:szCs w:val="24"/>
        </w:rPr>
        <w:t xml:space="preserve">South Dakota’s arguments touch on more than just State taxation, but more specifically whether the Court must amend previous standards and precedent to adapt to technology and the internet.  South Dakota’s law targets specifically internet retailers who have exploited a loophole in the Supreme Court’s Dormant Commerce Clause jurisprudence since those retailers have avoided any State taxation on account of the fixed standard the Court established in 1977.  </w:t>
      </w:r>
      <w:r w:rsidR="00EA6806">
        <w:rPr>
          <w:rFonts w:ascii="Times New Roman" w:hAnsi="Times New Roman" w:cs="Times New Roman"/>
          <w:i/>
          <w:sz w:val="24"/>
          <w:szCs w:val="24"/>
        </w:rPr>
        <w:t>See, Complete Auto Transit, Inc. v. Brad</w:t>
      </w:r>
      <w:r w:rsidR="00EA6806">
        <w:rPr>
          <w:rFonts w:ascii="Times New Roman" w:hAnsi="Times New Roman" w:cs="Times New Roman"/>
          <w:sz w:val="24"/>
          <w:szCs w:val="24"/>
        </w:rPr>
        <w:t xml:space="preserve">, 430 U.S. 274 (1977).  The question now before the Court is whether a standard set almost half a century ago is worth preserving, despite multiple challenges </w:t>
      </w:r>
      <w:r w:rsidR="00EA6806">
        <w:rPr>
          <w:rFonts w:ascii="Times New Roman" w:hAnsi="Times New Roman" w:cs="Times New Roman"/>
          <w:sz w:val="24"/>
          <w:szCs w:val="24"/>
        </w:rPr>
        <w:lastRenderedPageBreak/>
        <w:t>from State statutes, State cases, and the reality of an evolving commercial world that no longer plays by the Supreme Court’s rules.</w:t>
      </w:r>
    </w:p>
    <w:p w14:paraId="154E4C0A" w14:textId="77777777" w:rsidR="000B714F" w:rsidRDefault="00670B3B" w:rsidP="00670B3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BACKGROUND</w:t>
      </w:r>
    </w:p>
    <w:p w14:paraId="77C7E24A" w14:textId="77777777" w:rsidR="009135E8" w:rsidRPr="009135E8" w:rsidRDefault="009135E8" w:rsidP="00670B3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 xml:space="preserve">The Dormant Commerce Clause </w:t>
      </w:r>
    </w:p>
    <w:p w14:paraId="4A4115BC" w14:textId="77777777" w:rsidR="00670B3B" w:rsidRDefault="00670B3B" w:rsidP="00670B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case deals with two broad issues of law that are fundamental to the role of the Court in the U.S. government: (1) the Court’s interpretation and enforcement of the Constitution, and (2) the Court’s adherence to precedent when interpreting law.    In order to understand the </w:t>
      </w:r>
      <w:r w:rsidR="003609AD">
        <w:rPr>
          <w:rFonts w:ascii="Times New Roman" w:hAnsi="Times New Roman" w:cs="Times New Roman"/>
          <w:sz w:val="24"/>
          <w:szCs w:val="24"/>
        </w:rPr>
        <w:t xml:space="preserve">specific decision faced before the Supreme Court in </w:t>
      </w:r>
      <w:r w:rsidR="003609AD">
        <w:rPr>
          <w:rFonts w:ascii="Times New Roman" w:hAnsi="Times New Roman" w:cs="Times New Roman"/>
          <w:i/>
          <w:sz w:val="24"/>
          <w:szCs w:val="24"/>
        </w:rPr>
        <w:t>Wayfair</w:t>
      </w:r>
      <w:r w:rsidR="003609AD">
        <w:rPr>
          <w:rFonts w:ascii="Times New Roman" w:hAnsi="Times New Roman" w:cs="Times New Roman"/>
          <w:sz w:val="24"/>
          <w:szCs w:val="24"/>
        </w:rPr>
        <w:t xml:space="preserve">, it is important to discuss the Dormant Commerce Clause generally and how it applies to State tax requirements on interstate commerce.  It is only following that discussion that the specific question before the Court regarding overturning precedent can be understood in the context of </w:t>
      </w:r>
      <w:r w:rsidR="003609AD">
        <w:rPr>
          <w:rFonts w:ascii="Times New Roman" w:hAnsi="Times New Roman" w:cs="Times New Roman"/>
          <w:i/>
          <w:sz w:val="24"/>
          <w:szCs w:val="24"/>
        </w:rPr>
        <w:t>Wayfair.</w:t>
      </w:r>
    </w:p>
    <w:p w14:paraId="3DEBBA05" w14:textId="77777777" w:rsidR="003609AD" w:rsidRDefault="003609AD" w:rsidP="00670B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Dormant Commerce Clause is derived from the U.S. Constitution and the Federal government’s jurisdiction over interstate commerce.  U.S. Const. art. I, § 8, cl. 3.  Although the text of the Constitution only grants the Federal Government power to “regulate Commerce with foreign Nations, and among the several States”, subsequent Court decisions have interpreted that clause to prevent individual States from interfering with interstate commerce.  </w:t>
      </w:r>
      <w:r>
        <w:rPr>
          <w:rFonts w:ascii="Times New Roman" w:hAnsi="Times New Roman" w:cs="Times New Roman"/>
          <w:i/>
          <w:sz w:val="24"/>
          <w:szCs w:val="24"/>
        </w:rPr>
        <w:t>Gibbons v. Ogden</w:t>
      </w:r>
      <w:r>
        <w:rPr>
          <w:rFonts w:ascii="Times New Roman" w:hAnsi="Times New Roman" w:cs="Times New Roman"/>
          <w:sz w:val="24"/>
          <w:szCs w:val="24"/>
        </w:rPr>
        <w:t xml:space="preserve">, 22 U.S. 1 (1824).  This is not to say that States have an absolute bar against regulating matters that touch on interstate commerce, but that State action </w:t>
      </w:r>
      <w:r w:rsidR="009D38A5">
        <w:rPr>
          <w:rFonts w:ascii="Times New Roman" w:hAnsi="Times New Roman" w:cs="Times New Roman"/>
          <w:sz w:val="24"/>
          <w:szCs w:val="24"/>
        </w:rPr>
        <w:t>would be declared unconstitutional if it</w:t>
      </w:r>
      <w:r>
        <w:rPr>
          <w:rFonts w:ascii="Times New Roman" w:hAnsi="Times New Roman" w:cs="Times New Roman"/>
          <w:sz w:val="24"/>
          <w:szCs w:val="24"/>
        </w:rPr>
        <w:t xml:space="preserve"> (1) discriminated against interstate commerce in favor of the legislating state, and (2) served as a burden on interstate commerce</w:t>
      </w:r>
      <w:r w:rsidR="009D38A5">
        <w:rPr>
          <w:rFonts w:ascii="Times New Roman" w:hAnsi="Times New Roman" w:cs="Times New Roman"/>
          <w:sz w:val="24"/>
          <w:szCs w:val="24"/>
        </w:rPr>
        <w:t xml:space="preserve">.  </w:t>
      </w:r>
      <w:r w:rsidR="009D38A5">
        <w:rPr>
          <w:rFonts w:ascii="Times New Roman" w:hAnsi="Times New Roman" w:cs="Times New Roman"/>
          <w:i/>
          <w:sz w:val="24"/>
          <w:szCs w:val="24"/>
        </w:rPr>
        <w:t xml:space="preserve">South Carolina State Hwy Dep’t v. Barnwell Bros., Inc., </w:t>
      </w:r>
      <w:r w:rsidR="009D38A5">
        <w:rPr>
          <w:rFonts w:ascii="Times New Roman" w:hAnsi="Times New Roman" w:cs="Times New Roman"/>
          <w:sz w:val="24"/>
          <w:szCs w:val="24"/>
        </w:rPr>
        <w:t xml:space="preserve">303 U.S. 177 (1938).  The policy underling this concept is that State restrictions which favor one </w:t>
      </w:r>
      <w:r w:rsidR="009D38A5">
        <w:rPr>
          <w:rFonts w:ascii="Times New Roman" w:hAnsi="Times New Roman" w:cs="Times New Roman"/>
          <w:sz w:val="24"/>
          <w:szCs w:val="24"/>
        </w:rPr>
        <w:lastRenderedPageBreak/>
        <w:t xml:space="preserve">State over another undermine the unitary national market of the United States.  15A Am </w:t>
      </w:r>
      <w:proofErr w:type="spellStart"/>
      <w:r w:rsidR="009D38A5">
        <w:rPr>
          <w:rFonts w:ascii="Times New Roman" w:hAnsi="Times New Roman" w:cs="Times New Roman"/>
          <w:sz w:val="24"/>
          <w:szCs w:val="24"/>
        </w:rPr>
        <w:t>Jur</w:t>
      </w:r>
      <w:proofErr w:type="spellEnd"/>
      <w:r w:rsidR="009D38A5">
        <w:rPr>
          <w:rFonts w:ascii="Times New Roman" w:hAnsi="Times New Roman" w:cs="Times New Roman"/>
          <w:sz w:val="24"/>
          <w:szCs w:val="24"/>
        </w:rPr>
        <w:t xml:space="preserve">. 2d </w:t>
      </w:r>
      <w:r w:rsidR="009D38A5">
        <w:rPr>
          <w:rFonts w:ascii="Times New Roman" w:hAnsi="Times New Roman" w:cs="Times New Roman"/>
          <w:i/>
          <w:sz w:val="24"/>
          <w:szCs w:val="24"/>
        </w:rPr>
        <w:t>Commerce</w:t>
      </w:r>
      <w:r w:rsidR="009D38A5">
        <w:rPr>
          <w:rFonts w:ascii="Times New Roman" w:hAnsi="Times New Roman" w:cs="Times New Roman"/>
          <w:sz w:val="24"/>
          <w:szCs w:val="24"/>
        </w:rPr>
        <w:t xml:space="preserve"> § 102 (2018).</w:t>
      </w:r>
    </w:p>
    <w:p w14:paraId="174C1ACD" w14:textId="77777777" w:rsidR="009F1920" w:rsidRDefault="009D38A5" w:rsidP="00670B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Court’s test for determining whether a State has violated the Dormant Commerce Clause lends insight into the types of laws that the Court considers a violation of Federal Jurisdiction.  The first element, which considers whether or not a state “discriminates against interstate commerce”, seeks to prevent a State from imposing more onerous burdens upon interstate commerce than it imposes upon its own citizens.  </w:t>
      </w:r>
      <w:r>
        <w:rPr>
          <w:rFonts w:ascii="Times New Roman" w:hAnsi="Times New Roman" w:cs="Times New Roman"/>
          <w:i/>
          <w:sz w:val="24"/>
          <w:szCs w:val="24"/>
        </w:rPr>
        <w:t xml:space="preserve">Id. </w:t>
      </w:r>
      <w:r>
        <w:rPr>
          <w:rFonts w:ascii="Times New Roman" w:hAnsi="Times New Roman" w:cs="Times New Roman"/>
          <w:sz w:val="24"/>
          <w:szCs w:val="24"/>
        </w:rPr>
        <w:t xml:space="preserve">at § 101.  </w:t>
      </w:r>
      <w:r w:rsidR="009F1920">
        <w:rPr>
          <w:rFonts w:ascii="Times New Roman" w:hAnsi="Times New Roman" w:cs="Times New Roman"/>
          <w:sz w:val="24"/>
          <w:szCs w:val="24"/>
        </w:rPr>
        <w:t xml:space="preserve"> The prevention of these types of State laws stems from problems with the national economy before the ratification of the U.S. Constitution, where States were more interested in their own financial concerns and obstructed the commercial interests of other states by implementing unfair taxes and regulations.  Joanne Banker </w:t>
      </w:r>
      <w:proofErr w:type="spellStart"/>
      <w:r w:rsidR="009F1920">
        <w:rPr>
          <w:rFonts w:ascii="Times New Roman" w:hAnsi="Times New Roman" w:cs="Times New Roman"/>
          <w:sz w:val="24"/>
          <w:szCs w:val="24"/>
        </w:rPr>
        <w:t>Hames</w:t>
      </w:r>
      <w:proofErr w:type="spellEnd"/>
      <w:r w:rsidR="009F1920">
        <w:rPr>
          <w:rFonts w:ascii="Times New Roman" w:hAnsi="Times New Roman" w:cs="Times New Roman"/>
          <w:sz w:val="24"/>
          <w:szCs w:val="24"/>
        </w:rPr>
        <w:t xml:space="preserve"> &amp; Yvonne </w:t>
      </w:r>
      <w:proofErr w:type="spellStart"/>
      <w:r w:rsidR="009F1920">
        <w:rPr>
          <w:rFonts w:ascii="Times New Roman" w:hAnsi="Times New Roman" w:cs="Times New Roman"/>
          <w:sz w:val="24"/>
          <w:szCs w:val="24"/>
        </w:rPr>
        <w:t>Ekern</w:t>
      </w:r>
      <w:proofErr w:type="spellEnd"/>
      <w:r w:rsidR="009F1920">
        <w:rPr>
          <w:rFonts w:ascii="Times New Roman" w:hAnsi="Times New Roman" w:cs="Times New Roman"/>
          <w:sz w:val="24"/>
          <w:szCs w:val="24"/>
        </w:rPr>
        <w:t xml:space="preserve">, </w:t>
      </w:r>
      <w:r w:rsidR="009F1920">
        <w:rPr>
          <w:rFonts w:ascii="Times New Roman" w:hAnsi="Times New Roman" w:cs="Times New Roman"/>
          <w:i/>
          <w:sz w:val="24"/>
          <w:szCs w:val="24"/>
        </w:rPr>
        <w:t>Constitutional Law: Principles and Practice</w:t>
      </w:r>
      <w:r w:rsidR="009F1920">
        <w:rPr>
          <w:rFonts w:ascii="Times New Roman" w:hAnsi="Times New Roman" w:cs="Times New Roman"/>
          <w:sz w:val="24"/>
          <w:szCs w:val="24"/>
        </w:rPr>
        <w:t xml:space="preserve"> 147 (</w:t>
      </w:r>
      <w:r w:rsidR="00D0233D">
        <w:rPr>
          <w:rFonts w:ascii="Times New Roman" w:hAnsi="Times New Roman" w:cs="Times New Roman"/>
          <w:sz w:val="24"/>
          <w:szCs w:val="24"/>
        </w:rPr>
        <w:t xml:space="preserve">Delmar Cengage Learning 2d ed. 2013).   Prevention of this type of State law is considered one of the main reasons why the Constitution reserved jurisdiction over interstate commerce for the Federal government.  </w:t>
      </w:r>
      <w:r w:rsidR="00D0233D">
        <w:rPr>
          <w:rFonts w:ascii="Times New Roman" w:hAnsi="Times New Roman" w:cs="Times New Roman"/>
          <w:i/>
          <w:sz w:val="24"/>
          <w:szCs w:val="24"/>
        </w:rPr>
        <w:t>Id.</w:t>
      </w:r>
    </w:p>
    <w:p w14:paraId="5DACDACD" w14:textId="77777777" w:rsidR="001F276D" w:rsidRDefault="00D0233D" w:rsidP="00670B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its implementation, the Court’s role in striking down discriminatory State laws shows a tendency to ban State laws which show favoritism toward the home State without any necessary or tangible benefit aside from economic nationalism.   In </w:t>
      </w:r>
      <w:r>
        <w:rPr>
          <w:rFonts w:ascii="Times New Roman" w:hAnsi="Times New Roman" w:cs="Times New Roman"/>
          <w:i/>
          <w:sz w:val="24"/>
          <w:szCs w:val="24"/>
        </w:rPr>
        <w:t xml:space="preserve">Oregon Waste Sys. v. Department of </w:t>
      </w:r>
      <w:proofErr w:type="spellStart"/>
      <w:r>
        <w:rPr>
          <w:rFonts w:ascii="Times New Roman" w:hAnsi="Times New Roman" w:cs="Times New Roman"/>
          <w:i/>
          <w:sz w:val="24"/>
          <w:szCs w:val="24"/>
        </w:rPr>
        <w:t>Envtl</w:t>
      </w:r>
      <w:proofErr w:type="spellEnd"/>
      <w:r>
        <w:rPr>
          <w:rFonts w:ascii="Times New Roman" w:hAnsi="Times New Roman" w:cs="Times New Roman"/>
          <w:i/>
          <w:sz w:val="24"/>
          <w:szCs w:val="24"/>
        </w:rPr>
        <w:t>. Quality</w:t>
      </w:r>
      <w:r>
        <w:rPr>
          <w:rFonts w:ascii="Times New Roman" w:hAnsi="Times New Roman" w:cs="Times New Roman"/>
          <w:sz w:val="24"/>
          <w:szCs w:val="24"/>
        </w:rPr>
        <w:t xml:space="preserve">, 511 U.S. 93 (1994), the Supreme Court struck down an Oregon law which imposed a higher surcharge on waste generated out-of-state compared to waste generated within the State.  In evaluating the statute, the Court took considerable consideration of the fact that the State could not show any reason as to why the out-of-state waste would be charged more, and held that it is the State’s burden to identify the specific burden under which the additional tax is intended to rectify.  </w:t>
      </w:r>
      <w:r>
        <w:rPr>
          <w:rFonts w:ascii="Times New Roman" w:hAnsi="Times New Roman" w:cs="Times New Roman"/>
          <w:i/>
          <w:sz w:val="24"/>
          <w:szCs w:val="24"/>
        </w:rPr>
        <w:t xml:space="preserve">Id. </w:t>
      </w:r>
      <w:r>
        <w:rPr>
          <w:rFonts w:ascii="Times New Roman" w:hAnsi="Times New Roman" w:cs="Times New Roman"/>
          <w:sz w:val="24"/>
          <w:szCs w:val="24"/>
        </w:rPr>
        <w:t xml:space="preserve">at 103.  Additionally, the </w:t>
      </w:r>
      <w:r w:rsidR="009C7618">
        <w:rPr>
          <w:rFonts w:ascii="Times New Roman" w:hAnsi="Times New Roman" w:cs="Times New Roman"/>
          <w:sz w:val="24"/>
          <w:szCs w:val="24"/>
        </w:rPr>
        <w:t xml:space="preserve">Court held that the fact that the Act was </w:t>
      </w:r>
      <w:r w:rsidR="009C7618">
        <w:rPr>
          <w:rFonts w:ascii="Times New Roman" w:hAnsi="Times New Roman" w:cs="Times New Roman"/>
          <w:sz w:val="24"/>
          <w:szCs w:val="24"/>
        </w:rPr>
        <w:lastRenderedPageBreak/>
        <w:t xml:space="preserve">“facially neutral”, meaning that the Act did not discriminate against out-of-state commerce plainly within the text, was not determinative of whether or not the Statute was a violation of the Dormant Commerce Clause, as the Court held that the intent and the purpose of the law do not relieve an otherwise discriminatory statute of its burden on interstate commerce.  </w:t>
      </w:r>
      <w:r w:rsidR="009C7618">
        <w:rPr>
          <w:rFonts w:ascii="Times New Roman" w:hAnsi="Times New Roman" w:cs="Times New Roman"/>
          <w:i/>
          <w:sz w:val="24"/>
          <w:szCs w:val="24"/>
        </w:rPr>
        <w:t xml:space="preserve">Id. </w:t>
      </w:r>
      <w:r w:rsidR="009C7618">
        <w:rPr>
          <w:rFonts w:ascii="Times New Roman" w:hAnsi="Times New Roman" w:cs="Times New Roman"/>
          <w:sz w:val="24"/>
          <w:szCs w:val="24"/>
        </w:rPr>
        <w:t>at 100.</w:t>
      </w:r>
      <w:r w:rsidR="001F276D">
        <w:rPr>
          <w:rFonts w:ascii="Times New Roman" w:hAnsi="Times New Roman" w:cs="Times New Roman"/>
          <w:sz w:val="24"/>
          <w:szCs w:val="24"/>
        </w:rPr>
        <w:t xml:space="preserve">  </w:t>
      </w:r>
    </w:p>
    <w:p w14:paraId="4B52CA61" w14:textId="77777777" w:rsidR="00D0233D" w:rsidRDefault="001F276D" w:rsidP="001F276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same rule against discrimination applies even if no outside interest is prejudiced by the State regulation, as seen in the case of </w:t>
      </w:r>
      <w:r>
        <w:rPr>
          <w:rFonts w:ascii="Times New Roman" w:hAnsi="Times New Roman" w:cs="Times New Roman"/>
          <w:i/>
          <w:sz w:val="24"/>
          <w:szCs w:val="24"/>
        </w:rPr>
        <w:t xml:space="preserve">Camps Newfound/Owatonna v. Town of Harrison, </w:t>
      </w:r>
      <w:r>
        <w:rPr>
          <w:rFonts w:ascii="Times New Roman" w:hAnsi="Times New Roman" w:cs="Times New Roman"/>
          <w:sz w:val="24"/>
          <w:szCs w:val="24"/>
        </w:rPr>
        <w:t xml:space="preserve">520 U.S. 564 (1997).  In </w:t>
      </w:r>
      <w:r>
        <w:rPr>
          <w:rFonts w:ascii="Times New Roman" w:hAnsi="Times New Roman" w:cs="Times New Roman"/>
          <w:i/>
          <w:sz w:val="24"/>
          <w:szCs w:val="24"/>
        </w:rPr>
        <w:t>Camps Newfound/</w:t>
      </w:r>
      <w:proofErr w:type="spellStart"/>
      <w:r>
        <w:rPr>
          <w:rFonts w:ascii="Times New Roman" w:hAnsi="Times New Roman" w:cs="Times New Roman"/>
          <w:i/>
          <w:sz w:val="24"/>
          <w:szCs w:val="24"/>
        </w:rPr>
        <w:t>Owatanna</w:t>
      </w:r>
      <w:proofErr w:type="spellEnd"/>
      <w:r>
        <w:rPr>
          <w:rFonts w:ascii="Times New Roman" w:hAnsi="Times New Roman" w:cs="Times New Roman"/>
          <w:i/>
          <w:sz w:val="24"/>
          <w:szCs w:val="24"/>
        </w:rPr>
        <w:t>,</w:t>
      </w:r>
      <w:r>
        <w:rPr>
          <w:rFonts w:ascii="Times New Roman" w:hAnsi="Times New Roman" w:cs="Times New Roman"/>
          <w:sz w:val="24"/>
          <w:szCs w:val="24"/>
        </w:rPr>
        <w:t xml:space="preserve"> the Supreme Court struck down a charitable property tax exception that only applied to charities that benefited local interests, even though the parties obtaining the benefit were purely domestic entities that often had no impact on interstate commerce.  </w:t>
      </w:r>
      <w:r>
        <w:rPr>
          <w:rFonts w:ascii="Times New Roman" w:hAnsi="Times New Roman" w:cs="Times New Roman"/>
          <w:i/>
          <w:sz w:val="24"/>
          <w:szCs w:val="24"/>
        </w:rPr>
        <w:t xml:space="preserve">Id. </w:t>
      </w:r>
      <w:r>
        <w:rPr>
          <w:rFonts w:ascii="Times New Roman" w:hAnsi="Times New Roman" w:cs="Times New Roman"/>
          <w:sz w:val="24"/>
          <w:szCs w:val="24"/>
        </w:rPr>
        <w:t>at 574.  The Court chose to interpret the work “commerce” broadly, stating “[e]</w:t>
      </w:r>
      <w:proofErr w:type="spellStart"/>
      <w:r>
        <w:rPr>
          <w:rFonts w:ascii="Times New Roman" w:hAnsi="Times New Roman" w:cs="Times New Roman"/>
          <w:sz w:val="24"/>
          <w:szCs w:val="24"/>
        </w:rPr>
        <w:t>ven</w:t>
      </w:r>
      <w:proofErr w:type="spellEnd"/>
      <w:r>
        <w:rPr>
          <w:rFonts w:ascii="Times New Roman" w:hAnsi="Times New Roman" w:cs="Times New Roman"/>
          <w:sz w:val="24"/>
          <w:szCs w:val="24"/>
        </w:rPr>
        <w:t xml:space="preserve"> when business activities are purely local, if it is interstate commerce that feels the pinch, it does not matter how local the operation which applies the squeeze”.  </w:t>
      </w:r>
      <w:r>
        <w:rPr>
          <w:rFonts w:ascii="Times New Roman" w:hAnsi="Times New Roman" w:cs="Times New Roman"/>
          <w:i/>
          <w:sz w:val="24"/>
          <w:szCs w:val="24"/>
        </w:rPr>
        <w:t xml:space="preserve">Id. </w:t>
      </w:r>
      <w:r>
        <w:rPr>
          <w:rFonts w:ascii="Times New Roman" w:hAnsi="Times New Roman" w:cs="Times New Roman"/>
          <w:sz w:val="24"/>
          <w:szCs w:val="24"/>
        </w:rPr>
        <w:t xml:space="preserve">at 573.   </w:t>
      </w:r>
      <w:r w:rsidR="00DF2273">
        <w:rPr>
          <w:rFonts w:ascii="Times New Roman" w:hAnsi="Times New Roman" w:cs="Times New Roman"/>
          <w:sz w:val="24"/>
          <w:szCs w:val="24"/>
        </w:rPr>
        <w:t xml:space="preserve">Additionally, the Court recognized that this charitable exception posed no threat the national economy, but affirmed the need for Court intervention stating that the early history of the Commerce Clause shows that “even the smallest discrimination invites significant inroads on national solidarity”.  </w:t>
      </w:r>
      <w:r w:rsidR="00DF2273">
        <w:rPr>
          <w:rFonts w:ascii="Times New Roman" w:hAnsi="Times New Roman" w:cs="Times New Roman"/>
          <w:i/>
          <w:sz w:val="24"/>
          <w:szCs w:val="24"/>
        </w:rPr>
        <w:t xml:space="preserve">Id. </w:t>
      </w:r>
      <w:r w:rsidR="00DF2273">
        <w:rPr>
          <w:rFonts w:ascii="Times New Roman" w:hAnsi="Times New Roman" w:cs="Times New Roman"/>
          <w:sz w:val="24"/>
          <w:szCs w:val="24"/>
        </w:rPr>
        <w:t xml:space="preserve">at 619.  Overall, </w:t>
      </w:r>
      <w:r w:rsidR="00DF2273">
        <w:rPr>
          <w:rFonts w:ascii="Times New Roman" w:hAnsi="Times New Roman" w:cs="Times New Roman"/>
          <w:i/>
          <w:sz w:val="24"/>
          <w:szCs w:val="24"/>
        </w:rPr>
        <w:t>Camps Newfound/</w:t>
      </w:r>
      <w:proofErr w:type="spellStart"/>
      <w:r w:rsidR="00DF2273">
        <w:rPr>
          <w:rFonts w:ascii="Times New Roman" w:hAnsi="Times New Roman" w:cs="Times New Roman"/>
          <w:i/>
          <w:sz w:val="24"/>
          <w:szCs w:val="24"/>
        </w:rPr>
        <w:t>Owatanna</w:t>
      </w:r>
      <w:proofErr w:type="spellEnd"/>
      <w:r w:rsidR="00DF2273">
        <w:rPr>
          <w:rFonts w:ascii="Times New Roman" w:hAnsi="Times New Roman" w:cs="Times New Roman"/>
          <w:sz w:val="24"/>
          <w:szCs w:val="24"/>
        </w:rPr>
        <w:t xml:space="preserve"> showed the Court’s hesitancy to carve any exceptions for the Dormant Commerce Clause, fearing that any leniency in favor of the State’s would open a Pandora’s Box of federalism issues.</w:t>
      </w:r>
    </w:p>
    <w:p w14:paraId="422AD842" w14:textId="77777777" w:rsidR="00DF2273" w:rsidRDefault="00DF2273" w:rsidP="001F276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only instances in which the Court permitted seemingly discriminatory statutes was when the State could show that the benefit of the Statute outweighed what appeared to be domestic favoritism.  A good example of this balance was found in </w:t>
      </w:r>
      <w:r>
        <w:rPr>
          <w:rFonts w:ascii="Times New Roman" w:hAnsi="Times New Roman" w:cs="Times New Roman"/>
          <w:i/>
          <w:sz w:val="24"/>
          <w:szCs w:val="24"/>
        </w:rPr>
        <w:t>Minnesota v. Clover Leaf Creamery, Co.</w:t>
      </w:r>
      <w:r>
        <w:rPr>
          <w:rFonts w:ascii="Times New Roman" w:hAnsi="Times New Roman" w:cs="Times New Roman"/>
          <w:sz w:val="24"/>
          <w:szCs w:val="24"/>
        </w:rPr>
        <w:t xml:space="preserve">, 449 U.S. 456 (1981), in which the Court held that a Minnesota statute which required that milk be packaged in plastic, and not paper, containers possessed a sufficient </w:t>
      </w:r>
      <w:r>
        <w:rPr>
          <w:rFonts w:ascii="Times New Roman" w:hAnsi="Times New Roman" w:cs="Times New Roman"/>
          <w:sz w:val="24"/>
          <w:szCs w:val="24"/>
        </w:rPr>
        <w:lastRenderedPageBreak/>
        <w:t xml:space="preserve">environmental benefit to outweigh the advantage the law gave to Minnesota business.   The statute in question, Minn. Stat. § 116F.21 (1978) had two </w:t>
      </w:r>
      <w:r w:rsidR="00AE1805">
        <w:rPr>
          <w:rFonts w:ascii="Times New Roman" w:hAnsi="Times New Roman" w:cs="Times New Roman"/>
          <w:sz w:val="24"/>
          <w:szCs w:val="24"/>
        </w:rPr>
        <w:t xml:space="preserve">benefits recognized by the Court; (1) Minnesota’s stated goal of economic conservatism since plastic was better for the environment than paper, and (2) the plaintiff’s assertions that the law favored Minnesota’s plastic industry over the more foreign paper industry that was being used by local creameries.  </w:t>
      </w:r>
      <w:r w:rsidR="00AE1805">
        <w:rPr>
          <w:rFonts w:ascii="Times New Roman" w:hAnsi="Times New Roman" w:cs="Times New Roman"/>
          <w:i/>
          <w:sz w:val="24"/>
          <w:szCs w:val="24"/>
        </w:rPr>
        <w:t xml:space="preserve">Id. </w:t>
      </w:r>
      <w:r w:rsidR="00AE1805">
        <w:rPr>
          <w:rFonts w:ascii="Times New Roman" w:hAnsi="Times New Roman" w:cs="Times New Roman"/>
          <w:sz w:val="24"/>
          <w:szCs w:val="24"/>
        </w:rPr>
        <w:t xml:space="preserve">at 459-460.  Despite affirming their previous holdings that the intent of the Statute will not override the Statute’s practical effect, the Court held that Minn. Stat. § 116F.21 was not unconstitutional because the statute had an even-handed effect on all applicable businesses regardless of whether they were domestic or foreign.  </w:t>
      </w:r>
      <w:r w:rsidR="00AE1805">
        <w:rPr>
          <w:rFonts w:ascii="Times New Roman" w:hAnsi="Times New Roman" w:cs="Times New Roman"/>
          <w:i/>
          <w:sz w:val="24"/>
          <w:szCs w:val="24"/>
        </w:rPr>
        <w:t xml:space="preserve">Id. </w:t>
      </w:r>
      <w:r w:rsidR="00AE1805">
        <w:rPr>
          <w:rFonts w:ascii="Times New Roman" w:hAnsi="Times New Roman" w:cs="Times New Roman"/>
          <w:sz w:val="24"/>
          <w:szCs w:val="24"/>
        </w:rPr>
        <w:t>at 472.  Therefore, even though the standard for upholding a discriminatory law was high, the Court would not strike down State regulation where the benefit was only incidental to an otherwise lawful purpose.</w:t>
      </w:r>
    </w:p>
    <w:p w14:paraId="00B740D6" w14:textId="77777777" w:rsidR="00AE1805" w:rsidRDefault="00AE1805" w:rsidP="001F276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if a law was found to not discriminate against foreign States, a law could still be held unconstitutional if it violated the second element of the Dormant Commerce Clause, which was whether or not the State law posed an “undue burden” on interstate commerce.  </w:t>
      </w:r>
      <w:r w:rsidR="00340DB6">
        <w:rPr>
          <w:rFonts w:ascii="Times New Roman" w:hAnsi="Times New Roman" w:cs="Times New Roman"/>
          <w:sz w:val="24"/>
          <w:szCs w:val="24"/>
        </w:rPr>
        <w:t xml:space="preserve"> This element did not just consider the negative approach to surrounding States, but instead sought to balance the positive and negative aspects of the law and would strike down any law whose burden on outside states was “clearly excessive in relation to the putative local benefits”.  </w:t>
      </w:r>
      <w:r w:rsidR="00340DB6">
        <w:rPr>
          <w:rFonts w:ascii="Times New Roman" w:hAnsi="Times New Roman" w:cs="Times New Roman"/>
          <w:i/>
          <w:sz w:val="24"/>
          <w:szCs w:val="24"/>
        </w:rPr>
        <w:t xml:space="preserve">Pike v. Bruce Church, </w:t>
      </w:r>
      <w:r w:rsidR="00340DB6">
        <w:rPr>
          <w:rFonts w:ascii="Times New Roman" w:hAnsi="Times New Roman" w:cs="Times New Roman"/>
          <w:sz w:val="24"/>
          <w:szCs w:val="24"/>
        </w:rPr>
        <w:t xml:space="preserve">397 U.S. 137 (1972).   While the intent of the standard was to give Court’s discretion in fashioning an outcome that gave deference to State governments, the practical effect of such a subjective test was that it lent itself to contradictory interpretations depending on different Justices.  </w:t>
      </w:r>
      <w:proofErr w:type="spellStart"/>
      <w:r w:rsidR="00340DB6">
        <w:rPr>
          <w:rFonts w:ascii="Times New Roman" w:hAnsi="Times New Roman" w:cs="Times New Roman"/>
          <w:sz w:val="24"/>
          <w:szCs w:val="24"/>
        </w:rPr>
        <w:t>Hames</w:t>
      </w:r>
      <w:proofErr w:type="spellEnd"/>
      <w:r w:rsidR="00340DB6">
        <w:rPr>
          <w:rFonts w:ascii="Times New Roman" w:hAnsi="Times New Roman" w:cs="Times New Roman"/>
          <w:sz w:val="24"/>
          <w:szCs w:val="24"/>
        </w:rPr>
        <w:t xml:space="preserve"> &amp; </w:t>
      </w:r>
      <w:proofErr w:type="spellStart"/>
      <w:r w:rsidR="00340DB6">
        <w:rPr>
          <w:rFonts w:ascii="Times New Roman" w:hAnsi="Times New Roman" w:cs="Times New Roman"/>
          <w:sz w:val="24"/>
          <w:szCs w:val="24"/>
        </w:rPr>
        <w:t>Ekern</w:t>
      </w:r>
      <w:proofErr w:type="spellEnd"/>
      <w:r w:rsidR="00340DB6">
        <w:rPr>
          <w:rFonts w:ascii="Times New Roman" w:hAnsi="Times New Roman" w:cs="Times New Roman"/>
          <w:sz w:val="24"/>
          <w:szCs w:val="24"/>
        </w:rPr>
        <w:t xml:space="preserve">, </w:t>
      </w:r>
      <w:r w:rsidR="00340DB6">
        <w:rPr>
          <w:rFonts w:ascii="Times New Roman" w:hAnsi="Times New Roman" w:cs="Times New Roman"/>
          <w:i/>
          <w:sz w:val="24"/>
          <w:szCs w:val="24"/>
        </w:rPr>
        <w:t>supra</w:t>
      </w:r>
      <w:r w:rsidR="00340DB6">
        <w:rPr>
          <w:rFonts w:ascii="Times New Roman" w:hAnsi="Times New Roman" w:cs="Times New Roman"/>
          <w:sz w:val="24"/>
          <w:szCs w:val="24"/>
        </w:rPr>
        <w:t xml:space="preserve">, at 150.  For example, in </w:t>
      </w:r>
      <w:r w:rsidR="00340DB6">
        <w:rPr>
          <w:rFonts w:ascii="Times New Roman" w:hAnsi="Times New Roman" w:cs="Times New Roman"/>
          <w:i/>
          <w:sz w:val="24"/>
          <w:szCs w:val="24"/>
        </w:rPr>
        <w:t xml:space="preserve">Minnesota, </w:t>
      </w:r>
      <w:r w:rsidR="00340DB6">
        <w:rPr>
          <w:rFonts w:ascii="Times New Roman" w:hAnsi="Times New Roman" w:cs="Times New Roman"/>
          <w:sz w:val="24"/>
          <w:szCs w:val="24"/>
        </w:rPr>
        <w:t xml:space="preserve">449 U.S. at 473, the majority of the Court held that the environmental benefits of switching to plastic significantly outweighed the minor imposition on paper milk producers who were no longer able to participate </w:t>
      </w:r>
      <w:r w:rsidR="00340DB6">
        <w:rPr>
          <w:rFonts w:ascii="Times New Roman" w:hAnsi="Times New Roman" w:cs="Times New Roman"/>
          <w:sz w:val="24"/>
          <w:szCs w:val="24"/>
        </w:rPr>
        <w:lastRenderedPageBreak/>
        <w:t xml:space="preserve">in Minnesota’s economy.  Additionally, the Court held that other plastic producers who were not domesticated in Minnesota would benefit from this statute, thus once again created an even-handed effect to both Minnesota and other States.  </w:t>
      </w:r>
      <w:r w:rsidR="00340DB6">
        <w:rPr>
          <w:rFonts w:ascii="Times New Roman" w:hAnsi="Times New Roman" w:cs="Times New Roman"/>
          <w:i/>
          <w:sz w:val="24"/>
          <w:szCs w:val="24"/>
        </w:rPr>
        <w:t>Id.</w:t>
      </w:r>
      <w:r w:rsidR="00340DB6">
        <w:rPr>
          <w:rFonts w:ascii="Times New Roman" w:hAnsi="Times New Roman" w:cs="Times New Roman"/>
          <w:sz w:val="24"/>
          <w:szCs w:val="24"/>
        </w:rPr>
        <w:t xml:space="preserve">  By way of contrast, the dissenting opinion in </w:t>
      </w:r>
      <w:r w:rsidR="00340DB6">
        <w:rPr>
          <w:rFonts w:ascii="Times New Roman" w:hAnsi="Times New Roman" w:cs="Times New Roman"/>
          <w:i/>
          <w:sz w:val="24"/>
          <w:szCs w:val="24"/>
        </w:rPr>
        <w:t>Minnesota</w:t>
      </w:r>
      <w:r w:rsidR="0043318A">
        <w:rPr>
          <w:rFonts w:ascii="Times New Roman" w:hAnsi="Times New Roman" w:cs="Times New Roman"/>
          <w:sz w:val="24"/>
          <w:szCs w:val="24"/>
        </w:rPr>
        <w:t xml:space="preserve"> believed that the majority was inferring too much into the Statute, and that the plain language of the State was a clear violation of the Dormant Commerce Clause.  </w:t>
      </w:r>
      <w:r w:rsidR="0043318A">
        <w:rPr>
          <w:rFonts w:ascii="Times New Roman" w:hAnsi="Times New Roman" w:cs="Times New Roman"/>
          <w:i/>
          <w:sz w:val="24"/>
          <w:szCs w:val="24"/>
        </w:rPr>
        <w:t xml:space="preserve">Id. </w:t>
      </w:r>
      <w:r w:rsidR="0043318A">
        <w:rPr>
          <w:rFonts w:ascii="Times New Roman" w:hAnsi="Times New Roman" w:cs="Times New Roman"/>
          <w:sz w:val="24"/>
          <w:szCs w:val="24"/>
        </w:rPr>
        <w:t xml:space="preserve">at 476.  The dissent held that the balancing test applied to Dormant Commerce Clause issues should be limited solely to the text of the statute, and that the Court was adding too much of its own insight into the case at hand.  </w:t>
      </w:r>
      <w:r w:rsidR="0043318A">
        <w:rPr>
          <w:rFonts w:ascii="Times New Roman" w:hAnsi="Times New Roman" w:cs="Times New Roman"/>
          <w:i/>
          <w:sz w:val="24"/>
          <w:szCs w:val="24"/>
        </w:rPr>
        <w:t>Id.</w:t>
      </w:r>
    </w:p>
    <w:p w14:paraId="113EF197" w14:textId="77777777" w:rsidR="0043318A" w:rsidRDefault="0043318A" w:rsidP="001F276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good example of the inconsistency of the undue burden test was found in the case </w:t>
      </w:r>
      <w:r>
        <w:rPr>
          <w:rFonts w:ascii="Times New Roman" w:hAnsi="Times New Roman" w:cs="Times New Roman"/>
          <w:i/>
          <w:sz w:val="24"/>
          <w:szCs w:val="24"/>
        </w:rPr>
        <w:t>Southern Pacific Co. v. Arizona</w:t>
      </w:r>
      <w:r>
        <w:rPr>
          <w:rFonts w:ascii="Times New Roman" w:hAnsi="Times New Roman" w:cs="Times New Roman"/>
          <w:sz w:val="24"/>
          <w:szCs w:val="24"/>
        </w:rPr>
        <w:t xml:space="preserve">, 325 U.S. 761 (1945), where the Court struck down an Arizona law that prevented any railroad train that carried more than fourteen passenger cars, whereas the federal standard was higher.  The majority decision in </w:t>
      </w:r>
      <w:r>
        <w:rPr>
          <w:rFonts w:ascii="Times New Roman" w:hAnsi="Times New Roman" w:cs="Times New Roman"/>
          <w:i/>
          <w:sz w:val="24"/>
          <w:szCs w:val="24"/>
        </w:rPr>
        <w:t xml:space="preserve">Southern Pacific Co. </w:t>
      </w:r>
      <w:r>
        <w:rPr>
          <w:rFonts w:ascii="Times New Roman" w:hAnsi="Times New Roman" w:cs="Times New Roman"/>
          <w:sz w:val="24"/>
          <w:szCs w:val="24"/>
        </w:rPr>
        <w:t xml:space="preserve">noted that the Arizona law created a burden on interstate commerce because the law would have required every state to comply with the Arizona standard, since it was both impractical and costly to change the number of railroad cars going in and out of Arizona.  </w:t>
      </w:r>
      <w:r>
        <w:rPr>
          <w:rFonts w:ascii="Times New Roman" w:hAnsi="Times New Roman" w:cs="Times New Roman"/>
          <w:i/>
          <w:sz w:val="24"/>
          <w:szCs w:val="24"/>
        </w:rPr>
        <w:t xml:space="preserve">Id. </w:t>
      </w:r>
      <w:r>
        <w:rPr>
          <w:rFonts w:ascii="Times New Roman" w:hAnsi="Times New Roman" w:cs="Times New Roman"/>
          <w:sz w:val="24"/>
          <w:szCs w:val="24"/>
        </w:rPr>
        <w:t xml:space="preserve">at 773.  If permitted, the Arizona statute would require trains that passed through Arizona to either (1) dissemble their railroad cars at the border of every State, or (2) comply with the lowest standard by each State.  </w:t>
      </w:r>
      <w:r>
        <w:rPr>
          <w:rFonts w:ascii="Times New Roman" w:hAnsi="Times New Roman" w:cs="Times New Roman"/>
          <w:i/>
          <w:sz w:val="24"/>
          <w:szCs w:val="24"/>
        </w:rPr>
        <w:t xml:space="preserve">Id.  </w:t>
      </w:r>
      <w:r>
        <w:rPr>
          <w:rFonts w:ascii="Times New Roman" w:hAnsi="Times New Roman" w:cs="Times New Roman"/>
          <w:sz w:val="24"/>
          <w:szCs w:val="24"/>
        </w:rPr>
        <w:t xml:space="preserve"> This in turn was a perfect example of a State law which created a burden on interstate commerce, as the State’s regulations created a contradiction with Federal law which took the control out of the Federal government’s hands.  </w:t>
      </w:r>
      <w:r w:rsidR="00617ED0">
        <w:rPr>
          <w:rFonts w:ascii="Times New Roman" w:hAnsi="Times New Roman" w:cs="Times New Roman"/>
          <w:i/>
          <w:sz w:val="24"/>
          <w:szCs w:val="24"/>
        </w:rPr>
        <w:t xml:space="preserve">Id. </w:t>
      </w:r>
      <w:r w:rsidR="00617ED0">
        <w:rPr>
          <w:rFonts w:ascii="Times New Roman" w:hAnsi="Times New Roman" w:cs="Times New Roman"/>
          <w:sz w:val="24"/>
          <w:szCs w:val="24"/>
        </w:rPr>
        <w:t xml:space="preserve">Additionally, the Court held that the Arizona regulation served no legitimate State benefit, because even though the law had an intended goal of safety, the practical effect of shorter train lengths did not produce a tangible difference in accidents.  </w:t>
      </w:r>
      <w:r w:rsidR="00617ED0">
        <w:rPr>
          <w:rFonts w:ascii="Times New Roman" w:hAnsi="Times New Roman" w:cs="Times New Roman"/>
          <w:i/>
          <w:sz w:val="24"/>
          <w:szCs w:val="24"/>
        </w:rPr>
        <w:t>Id.</w:t>
      </w:r>
      <w:r w:rsidR="00617ED0">
        <w:rPr>
          <w:rFonts w:ascii="Times New Roman" w:hAnsi="Times New Roman" w:cs="Times New Roman"/>
          <w:sz w:val="24"/>
          <w:szCs w:val="24"/>
        </w:rPr>
        <w:t xml:space="preserve"> at 775.  Therefore on balance, the lack of a recognizable benefit from </w:t>
      </w:r>
      <w:r w:rsidR="00617ED0">
        <w:rPr>
          <w:rFonts w:ascii="Times New Roman" w:hAnsi="Times New Roman" w:cs="Times New Roman"/>
          <w:sz w:val="24"/>
          <w:szCs w:val="24"/>
        </w:rPr>
        <w:lastRenderedPageBreak/>
        <w:t xml:space="preserve">the Arizona law only highlighted the effect the law was having on interstate railroad travel, and thus, the Statute was struck down as unconstitutional.  </w:t>
      </w:r>
      <w:r w:rsidR="00617ED0">
        <w:rPr>
          <w:rFonts w:ascii="Times New Roman" w:hAnsi="Times New Roman" w:cs="Times New Roman"/>
          <w:i/>
          <w:sz w:val="24"/>
          <w:szCs w:val="24"/>
        </w:rPr>
        <w:t xml:space="preserve">Id. </w:t>
      </w:r>
      <w:r w:rsidR="00617ED0">
        <w:rPr>
          <w:rFonts w:ascii="Times New Roman" w:hAnsi="Times New Roman" w:cs="Times New Roman"/>
          <w:sz w:val="24"/>
          <w:szCs w:val="24"/>
        </w:rPr>
        <w:t>at 779.</w:t>
      </w:r>
    </w:p>
    <w:p w14:paraId="36C6E8E7" w14:textId="77777777" w:rsidR="00617ED0" w:rsidRDefault="00617ED0" w:rsidP="001F276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that </w:t>
      </w:r>
      <w:r w:rsidR="008B4AEB">
        <w:rPr>
          <w:rFonts w:ascii="Times New Roman" w:hAnsi="Times New Roman" w:cs="Times New Roman"/>
          <w:sz w:val="24"/>
          <w:szCs w:val="24"/>
        </w:rPr>
        <w:t xml:space="preserve">seemingly </w:t>
      </w:r>
      <w:r>
        <w:rPr>
          <w:rFonts w:ascii="Times New Roman" w:hAnsi="Times New Roman" w:cs="Times New Roman"/>
          <w:sz w:val="24"/>
          <w:szCs w:val="24"/>
        </w:rPr>
        <w:t xml:space="preserve">well-reasoned conclusion, the dissent in </w:t>
      </w:r>
      <w:r>
        <w:rPr>
          <w:rFonts w:ascii="Times New Roman" w:hAnsi="Times New Roman" w:cs="Times New Roman"/>
          <w:i/>
          <w:sz w:val="24"/>
          <w:szCs w:val="24"/>
        </w:rPr>
        <w:t xml:space="preserve">Southern Pacific </w:t>
      </w:r>
      <w:r>
        <w:rPr>
          <w:rFonts w:ascii="Times New Roman" w:hAnsi="Times New Roman" w:cs="Times New Roman"/>
          <w:sz w:val="24"/>
          <w:szCs w:val="24"/>
        </w:rPr>
        <w:t xml:space="preserve">challenged the majority decision’s holding as usurping State authority, and questioned whether it was the Court’s job to interfere with State action on safety.  </w:t>
      </w:r>
      <w:r>
        <w:rPr>
          <w:rFonts w:ascii="Times New Roman" w:hAnsi="Times New Roman" w:cs="Times New Roman"/>
          <w:i/>
          <w:sz w:val="24"/>
          <w:szCs w:val="24"/>
        </w:rPr>
        <w:t xml:space="preserve">Id. </w:t>
      </w:r>
      <w:r>
        <w:rPr>
          <w:rFonts w:ascii="Times New Roman" w:hAnsi="Times New Roman" w:cs="Times New Roman"/>
          <w:sz w:val="24"/>
          <w:szCs w:val="24"/>
        </w:rPr>
        <w:t>at 784.</w:t>
      </w:r>
      <w:r w:rsidR="008B4AEB">
        <w:rPr>
          <w:rFonts w:ascii="Times New Roman" w:hAnsi="Times New Roman" w:cs="Times New Roman"/>
          <w:sz w:val="24"/>
          <w:szCs w:val="24"/>
        </w:rPr>
        <w:t xml:space="preserve">  First, the dissent questioned the majority’s findings regarding both the burden and benefit, stating that there was “undoubtedly some evidence before [the Court] under which it could have reached a [different] conclusion”; and therefore, any factual finding made pursuant to this test was too subjective to permit such drastic action from the Court.  </w:t>
      </w:r>
      <w:r w:rsidR="008B4AEB">
        <w:rPr>
          <w:rFonts w:ascii="Times New Roman" w:hAnsi="Times New Roman" w:cs="Times New Roman"/>
          <w:i/>
          <w:sz w:val="24"/>
          <w:szCs w:val="24"/>
        </w:rPr>
        <w:t xml:space="preserve">Id. </w:t>
      </w:r>
      <w:r w:rsidR="008B4AEB">
        <w:rPr>
          <w:rFonts w:ascii="Times New Roman" w:hAnsi="Times New Roman" w:cs="Times New Roman"/>
          <w:sz w:val="24"/>
          <w:szCs w:val="24"/>
        </w:rPr>
        <w:t>at 789.   To that end, the dissent questioned whether striking do</w:t>
      </w:r>
      <w:r w:rsidR="00B83C39">
        <w:rPr>
          <w:rFonts w:ascii="Times New Roman" w:hAnsi="Times New Roman" w:cs="Times New Roman"/>
          <w:sz w:val="24"/>
          <w:szCs w:val="24"/>
        </w:rPr>
        <w:t xml:space="preserve">wn the State law was proper even assuming the findings were correct, stating “the determination of whether it is in the interest of society for the length of trains to be governmentally regulated is a matter of public policy” and therefore the Court should defer to the legislature.  </w:t>
      </w:r>
      <w:r w:rsidR="00B83C39">
        <w:rPr>
          <w:rFonts w:ascii="Times New Roman" w:hAnsi="Times New Roman" w:cs="Times New Roman"/>
          <w:i/>
          <w:sz w:val="24"/>
          <w:szCs w:val="24"/>
        </w:rPr>
        <w:t xml:space="preserve">Id. </w:t>
      </w:r>
      <w:r w:rsidR="00B83C39">
        <w:rPr>
          <w:rFonts w:ascii="Times New Roman" w:hAnsi="Times New Roman" w:cs="Times New Roman"/>
          <w:sz w:val="24"/>
          <w:szCs w:val="24"/>
        </w:rPr>
        <w:t xml:space="preserve">at 789.   </w:t>
      </w:r>
    </w:p>
    <w:p w14:paraId="07E1A9FE" w14:textId="77777777" w:rsidR="00B83C39" w:rsidRDefault="00B83C39" w:rsidP="001F276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contradictory opinions regarding the undue burden element in </w:t>
      </w:r>
      <w:r>
        <w:rPr>
          <w:rFonts w:ascii="Times New Roman" w:hAnsi="Times New Roman" w:cs="Times New Roman"/>
          <w:i/>
          <w:sz w:val="24"/>
          <w:szCs w:val="24"/>
        </w:rPr>
        <w:t>South Pacific Co.</w:t>
      </w:r>
      <w:r>
        <w:rPr>
          <w:rFonts w:ascii="Times New Roman" w:hAnsi="Times New Roman" w:cs="Times New Roman"/>
          <w:sz w:val="24"/>
          <w:szCs w:val="24"/>
        </w:rPr>
        <w:t xml:space="preserve"> evidence a significant change from the uniformity found in the first element of the Dormant Commerce Clause.  Whereas the Court seemed unified behind the principle that the Court should err on the side of striking down a discriminatory law regardless of the stated goal, the undue burden test shows two different approaches to the federalism that values both Court protection of the national economy, but also the Court’s role in striking down State action.  The hesitancy of the dissenting opinions in allowing Courts to substitute their own judgment in favor of States is a compelling argument that has existed since Thomas Jefferson first warned that giving the judiciary the power of judicial review would “make the judiciary a despotic branch”.  Thomas Jefferson, </w:t>
      </w:r>
      <w:r>
        <w:rPr>
          <w:rFonts w:ascii="Times New Roman" w:hAnsi="Times New Roman" w:cs="Times New Roman"/>
          <w:i/>
          <w:sz w:val="24"/>
          <w:szCs w:val="24"/>
        </w:rPr>
        <w:t xml:space="preserve">The Writings of Thomas Jefferson </w:t>
      </w:r>
      <w:r>
        <w:rPr>
          <w:rFonts w:ascii="Times New Roman" w:hAnsi="Times New Roman" w:cs="Times New Roman"/>
          <w:sz w:val="24"/>
          <w:szCs w:val="24"/>
        </w:rPr>
        <w:t>51 (</w:t>
      </w:r>
      <w:proofErr w:type="spellStart"/>
      <w:r>
        <w:rPr>
          <w:rFonts w:ascii="Times New Roman" w:hAnsi="Times New Roman" w:cs="Times New Roman"/>
          <w:sz w:val="24"/>
          <w:szCs w:val="24"/>
        </w:rPr>
        <w:t>Alberty</w:t>
      </w:r>
      <w:proofErr w:type="spellEnd"/>
      <w:r>
        <w:rPr>
          <w:rFonts w:ascii="Times New Roman" w:hAnsi="Times New Roman" w:cs="Times New Roman"/>
          <w:sz w:val="24"/>
          <w:szCs w:val="24"/>
        </w:rPr>
        <w:t xml:space="preserve"> Ellery Bergh, ed., 1907).  Even though </w:t>
      </w:r>
      <w:r>
        <w:rPr>
          <w:rFonts w:ascii="Times New Roman" w:hAnsi="Times New Roman" w:cs="Times New Roman"/>
          <w:sz w:val="24"/>
          <w:szCs w:val="24"/>
        </w:rPr>
        <w:lastRenderedPageBreak/>
        <w:t xml:space="preserve">the dissenting arguments were not persuasive enough to stop the Court from invalidating the Arizona regulation in </w:t>
      </w:r>
      <w:r>
        <w:rPr>
          <w:rFonts w:ascii="Times New Roman" w:hAnsi="Times New Roman" w:cs="Times New Roman"/>
          <w:i/>
          <w:sz w:val="24"/>
          <w:szCs w:val="24"/>
        </w:rPr>
        <w:t>South Pacific Co.</w:t>
      </w:r>
      <w:r>
        <w:rPr>
          <w:rFonts w:ascii="Times New Roman" w:hAnsi="Times New Roman" w:cs="Times New Roman"/>
          <w:sz w:val="24"/>
          <w:szCs w:val="24"/>
        </w:rPr>
        <w:t xml:space="preserve">, the </w:t>
      </w:r>
      <w:r w:rsidR="009135E8">
        <w:rPr>
          <w:rFonts w:ascii="Times New Roman" w:hAnsi="Times New Roman" w:cs="Times New Roman"/>
          <w:sz w:val="24"/>
          <w:szCs w:val="24"/>
        </w:rPr>
        <w:t>warnings issued by those judges are important to curtail the Court’s willingness to exercise its power under the Dormant Commerce Clause, and poses a compelling argument for giving States more latitude in regulating commerce within its borders.</w:t>
      </w:r>
    </w:p>
    <w:p w14:paraId="77433CC1" w14:textId="77777777" w:rsidR="009135E8" w:rsidRDefault="009135E8" w:rsidP="009135E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State Taxation on Out-of-State Business</w:t>
      </w:r>
    </w:p>
    <w:p w14:paraId="697E9CE4" w14:textId="77777777" w:rsidR="00B85872" w:rsidRPr="004B5631" w:rsidRDefault="009135E8" w:rsidP="00B85872">
      <w:pPr>
        <w:spacing w:line="480" w:lineRule="auto"/>
        <w:rPr>
          <w:rFonts w:ascii="Times New Roman" w:hAnsi="Times New Roman" w:cs="Times New Roman"/>
          <w:i/>
          <w:sz w:val="24"/>
          <w:szCs w:val="24"/>
        </w:rPr>
      </w:pPr>
      <w:r>
        <w:rPr>
          <w:rFonts w:ascii="Times New Roman" w:hAnsi="Times New Roman" w:cs="Times New Roman"/>
          <w:sz w:val="24"/>
          <w:szCs w:val="24"/>
        </w:rPr>
        <w:tab/>
        <w:t>Both State and Federal governments possess the power to implement taxes on citizens; however, a State’s pow</w:t>
      </w:r>
      <w:r w:rsidR="00B85872">
        <w:rPr>
          <w:rFonts w:ascii="Times New Roman" w:hAnsi="Times New Roman" w:cs="Times New Roman"/>
          <w:sz w:val="24"/>
          <w:szCs w:val="24"/>
        </w:rPr>
        <w:t>er to tax interstate commerce can be</w:t>
      </w:r>
      <w:r>
        <w:rPr>
          <w:rFonts w:ascii="Times New Roman" w:hAnsi="Times New Roman" w:cs="Times New Roman"/>
          <w:sz w:val="24"/>
          <w:szCs w:val="24"/>
        </w:rPr>
        <w:t xml:space="preserve"> subject to the provisions of the Dormant Commerce Clause.  </w:t>
      </w:r>
      <w:proofErr w:type="spellStart"/>
      <w:r>
        <w:rPr>
          <w:rFonts w:ascii="Times New Roman" w:hAnsi="Times New Roman" w:cs="Times New Roman"/>
          <w:sz w:val="24"/>
          <w:szCs w:val="24"/>
        </w:rPr>
        <w:t>Hames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Ekern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supra, </w:t>
      </w:r>
      <w:r>
        <w:rPr>
          <w:rFonts w:ascii="Times New Roman" w:hAnsi="Times New Roman" w:cs="Times New Roman"/>
          <w:sz w:val="24"/>
          <w:szCs w:val="24"/>
        </w:rPr>
        <w:t xml:space="preserve">at 152.  </w:t>
      </w:r>
      <w:r w:rsidR="00B85872">
        <w:rPr>
          <w:rFonts w:ascii="Times New Roman" w:hAnsi="Times New Roman" w:cs="Times New Roman"/>
          <w:sz w:val="24"/>
          <w:szCs w:val="24"/>
        </w:rPr>
        <w:t xml:space="preserve"> Generally, the purpose of taxation is to apportion the cost of government among the citizens who enjoy its benefits, so that the government in turn can promote the general welfare and protection of its citizens.  71 Am. </w:t>
      </w:r>
      <w:proofErr w:type="spellStart"/>
      <w:r w:rsidR="00B85872">
        <w:rPr>
          <w:rFonts w:ascii="Times New Roman" w:hAnsi="Times New Roman" w:cs="Times New Roman"/>
          <w:sz w:val="24"/>
          <w:szCs w:val="24"/>
        </w:rPr>
        <w:t>Jur</w:t>
      </w:r>
      <w:proofErr w:type="spellEnd"/>
      <w:r w:rsidR="00B85872">
        <w:rPr>
          <w:rFonts w:ascii="Times New Roman" w:hAnsi="Times New Roman" w:cs="Times New Roman"/>
          <w:sz w:val="24"/>
          <w:szCs w:val="24"/>
        </w:rPr>
        <w:t xml:space="preserve">. </w:t>
      </w:r>
      <w:r w:rsidR="00B85872">
        <w:rPr>
          <w:rFonts w:ascii="Times New Roman" w:hAnsi="Times New Roman" w:cs="Times New Roman"/>
          <w:i/>
          <w:sz w:val="24"/>
          <w:szCs w:val="24"/>
        </w:rPr>
        <w:t xml:space="preserve">State and Local Taxation </w:t>
      </w:r>
      <w:r w:rsidR="00B85872">
        <w:rPr>
          <w:rFonts w:ascii="Times New Roman" w:hAnsi="Times New Roman" w:cs="Times New Roman"/>
          <w:sz w:val="24"/>
          <w:szCs w:val="24"/>
        </w:rPr>
        <w:t xml:space="preserve">§ 1 (2017).  Although the government has wide latitude to implement taxes upon its citizens, the government must show that the tax serves a public purpose which benefits the public at large.  </w:t>
      </w:r>
      <w:r w:rsidR="00B85872">
        <w:rPr>
          <w:rFonts w:ascii="Times New Roman" w:hAnsi="Times New Roman" w:cs="Times New Roman"/>
          <w:i/>
          <w:sz w:val="24"/>
          <w:szCs w:val="24"/>
        </w:rPr>
        <w:t>Id.</w:t>
      </w:r>
      <w:r w:rsidR="00B85872">
        <w:rPr>
          <w:rFonts w:ascii="Times New Roman" w:hAnsi="Times New Roman" w:cs="Times New Roman"/>
          <w:sz w:val="24"/>
          <w:szCs w:val="24"/>
        </w:rPr>
        <w:t xml:space="preserve"> § 3.  </w:t>
      </w:r>
      <w:r w:rsidR="004B5631">
        <w:rPr>
          <w:rFonts w:ascii="Times New Roman" w:hAnsi="Times New Roman" w:cs="Times New Roman"/>
          <w:sz w:val="24"/>
          <w:szCs w:val="24"/>
        </w:rPr>
        <w:t xml:space="preserve">  Additionally</w:t>
      </w:r>
      <w:r w:rsidR="00B85872">
        <w:rPr>
          <w:rFonts w:ascii="Times New Roman" w:hAnsi="Times New Roman" w:cs="Times New Roman"/>
          <w:sz w:val="24"/>
          <w:szCs w:val="24"/>
        </w:rPr>
        <w:t>, the Dormant Commerce Clause serves to prevent States from imposing burdensome taxes that would restrict the flow of commerce across its borders</w:t>
      </w:r>
      <w:r w:rsidR="004B5631">
        <w:rPr>
          <w:rFonts w:ascii="Times New Roman" w:hAnsi="Times New Roman" w:cs="Times New Roman"/>
          <w:sz w:val="24"/>
          <w:szCs w:val="24"/>
        </w:rPr>
        <w:t>, even if the State can show that the taxes serve the public good</w:t>
      </w:r>
      <w:r w:rsidR="00B85872">
        <w:rPr>
          <w:rFonts w:ascii="Times New Roman" w:hAnsi="Times New Roman" w:cs="Times New Roman"/>
          <w:sz w:val="24"/>
          <w:szCs w:val="24"/>
        </w:rPr>
        <w:t xml:space="preserve">.  </w:t>
      </w:r>
      <w:r w:rsidR="00B85872">
        <w:rPr>
          <w:rFonts w:ascii="Times New Roman" w:hAnsi="Times New Roman" w:cs="Times New Roman"/>
          <w:i/>
          <w:sz w:val="24"/>
          <w:szCs w:val="24"/>
        </w:rPr>
        <w:t>Id</w:t>
      </w:r>
      <w:r w:rsidR="00B85872">
        <w:rPr>
          <w:rFonts w:ascii="Times New Roman" w:hAnsi="Times New Roman" w:cs="Times New Roman"/>
          <w:sz w:val="24"/>
          <w:szCs w:val="24"/>
        </w:rPr>
        <w:t xml:space="preserve"> § 157.</w:t>
      </w:r>
      <w:r w:rsidR="004B5631">
        <w:rPr>
          <w:rFonts w:ascii="Times New Roman" w:hAnsi="Times New Roman" w:cs="Times New Roman"/>
          <w:sz w:val="24"/>
          <w:szCs w:val="24"/>
        </w:rPr>
        <w:t xml:space="preserve">   This is not to say that any and all acts of interstate commerce are immune from State taxation, but only that State taxes which implicate interstate commerce must pass the same test which prevents taxes that (1) discriminate against out-of-state interests and (2) impose an undue burden on interstate commerce.  </w:t>
      </w:r>
      <w:r w:rsidR="004B5631">
        <w:rPr>
          <w:rFonts w:ascii="Times New Roman" w:hAnsi="Times New Roman" w:cs="Times New Roman"/>
          <w:i/>
          <w:sz w:val="24"/>
          <w:szCs w:val="24"/>
        </w:rPr>
        <w:t xml:space="preserve">Id </w:t>
      </w:r>
    </w:p>
    <w:p w14:paraId="3955BC82" w14:textId="77777777" w:rsidR="009135E8" w:rsidRDefault="00AD2A82" w:rsidP="001F276D">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In practice</w:t>
      </w:r>
      <w:r w:rsidR="007004AD">
        <w:rPr>
          <w:rFonts w:ascii="Times New Roman" w:hAnsi="Times New Roman" w:cs="Times New Roman"/>
          <w:sz w:val="24"/>
          <w:szCs w:val="24"/>
        </w:rPr>
        <w:t>, the current</w:t>
      </w:r>
      <w:r>
        <w:rPr>
          <w:rFonts w:ascii="Times New Roman" w:hAnsi="Times New Roman" w:cs="Times New Roman"/>
          <w:sz w:val="24"/>
          <w:szCs w:val="24"/>
        </w:rPr>
        <w:t xml:space="preserve"> test </w:t>
      </w:r>
      <w:r w:rsidR="007004AD">
        <w:rPr>
          <w:rFonts w:ascii="Times New Roman" w:hAnsi="Times New Roman" w:cs="Times New Roman"/>
          <w:sz w:val="24"/>
          <w:szCs w:val="24"/>
        </w:rPr>
        <w:t xml:space="preserve">balancing those factors </w:t>
      </w:r>
      <w:r>
        <w:rPr>
          <w:rFonts w:ascii="Times New Roman" w:hAnsi="Times New Roman" w:cs="Times New Roman"/>
          <w:sz w:val="24"/>
          <w:szCs w:val="24"/>
        </w:rPr>
        <w:t xml:space="preserve">has served to strike down any State tax </w:t>
      </w:r>
      <w:r w:rsidR="00E16707">
        <w:rPr>
          <w:rFonts w:ascii="Times New Roman" w:hAnsi="Times New Roman" w:cs="Times New Roman"/>
          <w:sz w:val="24"/>
          <w:szCs w:val="24"/>
        </w:rPr>
        <w:t>upon businesses which did not have a physical presence within the taxing State</w:t>
      </w:r>
      <w:r>
        <w:rPr>
          <w:rFonts w:ascii="Times New Roman" w:hAnsi="Times New Roman" w:cs="Times New Roman"/>
          <w:sz w:val="24"/>
          <w:szCs w:val="24"/>
        </w:rPr>
        <w:t xml:space="preserve">.  </w:t>
      </w:r>
      <w:r>
        <w:rPr>
          <w:rFonts w:ascii="Times New Roman" w:hAnsi="Times New Roman" w:cs="Times New Roman"/>
          <w:i/>
          <w:sz w:val="24"/>
          <w:szCs w:val="24"/>
        </w:rPr>
        <w:t>See, Complete Auto Transit, Inc.</w:t>
      </w:r>
      <w:r>
        <w:rPr>
          <w:rFonts w:ascii="Times New Roman" w:hAnsi="Times New Roman" w:cs="Times New Roman"/>
          <w:sz w:val="24"/>
          <w:szCs w:val="24"/>
        </w:rPr>
        <w:t xml:space="preserve">, 430 U.S. 274.   In </w:t>
      </w:r>
      <w:r>
        <w:rPr>
          <w:rFonts w:ascii="Times New Roman" w:hAnsi="Times New Roman" w:cs="Times New Roman"/>
          <w:i/>
          <w:sz w:val="24"/>
          <w:szCs w:val="24"/>
        </w:rPr>
        <w:t>Complete Auto Transit, Inc.</w:t>
      </w:r>
      <w:r>
        <w:rPr>
          <w:rFonts w:ascii="Times New Roman" w:hAnsi="Times New Roman" w:cs="Times New Roman"/>
          <w:sz w:val="24"/>
          <w:szCs w:val="24"/>
        </w:rPr>
        <w:t>, the Court created a four-</w:t>
      </w:r>
      <w:r>
        <w:rPr>
          <w:rFonts w:ascii="Times New Roman" w:hAnsi="Times New Roman" w:cs="Times New Roman"/>
          <w:sz w:val="24"/>
          <w:szCs w:val="24"/>
        </w:rPr>
        <w:lastRenderedPageBreak/>
        <w:t xml:space="preserve">pronged test that </w:t>
      </w:r>
      <w:r w:rsidR="00E16707">
        <w:rPr>
          <w:rFonts w:ascii="Times New Roman" w:hAnsi="Times New Roman" w:cs="Times New Roman"/>
          <w:sz w:val="24"/>
          <w:szCs w:val="24"/>
        </w:rPr>
        <w:t>sought</w:t>
      </w:r>
      <w:r>
        <w:rPr>
          <w:rFonts w:ascii="Times New Roman" w:hAnsi="Times New Roman" w:cs="Times New Roman"/>
          <w:sz w:val="24"/>
          <w:szCs w:val="24"/>
        </w:rPr>
        <w:t xml:space="preserve"> to prevent taxes that posed an unnecessary burden on interstate commerce but still allow States to tax business that relied on State services.  </w:t>
      </w:r>
      <w:r>
        <w:rPr>
          <w:rFonts w:ascii="Times New Roman" w:hAnsi="Times New Roman" w:cs="Times New Roman"/>
          <w:i/>
          <w:sz w:val="24"/>
          <w:szCs w:val="24"/>
        </w:rPr>
        <w:t xml:space="preserve">Id. </w:t>
      </w:r>
      <w:r>
        <w:rPr>
          <w:rFonts w:ascii="Times New Roman" w:hAnsi="Times New Roman" w:cs="Times New Roman"/>
          <w:sz w:val="24"/>
          <w:szCs w:val="24"/>
        </w:rPr>
        <w:t xml:space="preserve">at 286.  This test required that a State tax (1) be based on an activity that has a substantial nexus to the taxing state, (2) be fairly apportioned, (3) not discriminate against interstate commerce, and (4) be fairly related to the services provided by the State.  </w:t>
      </w:r>
      <w:r w:rsidR="00E16707">
        <w:rPr>
          <w:rFonts w:ascii="Times New Roman" w:hAnsi="Times New Roman" w:cs="Times New Roman"/>
          <w:sz w:val="24"/>
          <w:szCs w:val="24"/>
        </w:rPr>
        <w:t xml:space="preserve">71A Am. </w:t>
      </w:r>
      <w:proofErr w:type="spellStart"/>
      <w:r w:rsidR="00E16707">
        <w:rPr>
          <w:rFonts w:ascii="Times New Roman" w:hAnsi="Times New Roman" w:cs="Times New Roman"/>
          <w:sz w:val="24"/>
          <w:szCs w:val="24"/>
        </w:rPr>
        <w:t>Jur</w:t>
      </w:r>
      <w:proofErr w:type="spellEnd"/>
      <w:r w:rsidR="00E16707">
        <w:rPr>
          <w:rFonts w:ascii="Times New Roman" w:hAnsi="Times New Roman" w:cs="Times New Roman"/>
          <w:sz w:val="24"/>
          <w:szCs w:val="24"/>
        </w:rPr>
        <w:t xml:space="preserve">., </w:t>
      </w:r>
      <w:r w:rsidR="00E16707">
        <w:rPr>
          <w:rFonts w:ascii="Times New Roman" w:hAnsi="Times New Roman" w:cs="Times New Roman"/>
          <w:i/>
          <w:sz w:val="24"/>
          <w:szCs w:val="24"/>
        </w:rPr>
        <w:t>supra</w:t>
      </w:r>
      <w:r w:rsidR="00E16707">
        <w:rPr>
          <w:rFonts w:ascii="Times New Roman" w:hAnsi="Times New Roman" w:cs="Times New Roman"/>
          <w:sz w:val="24"/>
          <w:szCs w:val="24"/>
        </w:rPr>
        <w:t>, § 158.</w:t>
      </w:r>
      <w:r>
        <w:rPr>
          <w:rFonts w:ascii="Times New Roman" w:hAnsi="Times New Roman" w:cs="Times New Roman"/>
          <w:sz w:val="24"/>
          <w:szCs w:val="24"/>
        </w:rPr>
        <w:t xml:space="preserve">  </w:t>
      </w:r>
      <w:r w:rsidR="00E16707">
        <w:rPr>
          <w:rFonts w:ascii="Times New Roman" w:hAnsi="Times New Roman" w:cs="Times New Roman"/>
          <w:sz w:val="24"/>
          <w:szCs w:val="24"/>
        </w:rPr>
        <w:t xml:space="preserve">The first element, that the activity had a “substantial nexus” with the taxing State, sought to ensure that there was some domestic presence of the taxed entity within the forum State.  </w:t>
      </w:r>
      <w:proofErr w:type="spellStart"/>
      <w:r w:rsidR="00E16707">
        <w:rPr>
          <w:rFonts w:ascii="Times New Roman" w:hAnsi="Times New Roman" w:cs="Times New Roman"/>
          <w:sz w:val="24"/>
          <w:szCs w:val="24"/>
        </w:rPr>
        <w:t>Hames</w:t>
      </w:r>
      <w:proofErr w:type="spellEnd"/>
      <w:r w:rsidR="00E16707">
        <w:rPr>
          <w:rFonts w:ascii="Times New Roman" w:hAnsi="Times New Roman" w:cs="Times New Roman"/>
          <w:sz w:val="24"/>
          <w:szCs w:val="24"/>
        </w:rPr>
        <w:t xml:space="preserve"> &amp; </w:t>
      </w:r>
      <w:proofErr w:type="spellStart"/>
      <w:r w:rsidR="00E16707">
        <w:rPr>
          <w:rFonts w:ascii="Times New Roman" w:hAnsi="Times New Roman" w:cs="Times New Roman"/>
          <w:sz w:val="24"/>
          <w:szCs w:val="24"/>
        </w:rPr>
        <w:t>Ekern</w:t>
      </w:r>
      <w:proofErr w:type="spellEnd"/>
      <w:r w:rsidR="00E16707">
        <w:rPr>
          <w:rFonts w:ascii="Times New Roman" w:hAnsi="Times New Roman" w:cs="Times New Roman"/>
          <w:sz w:val="24"/>
          <w:szCs w:val="24"/>
        </w:rPr>
        <w:t xml:space="preserve">, </w:t>
      </w:r>
      <w:r w:rsidR="00E16707">
        <w:rPr>
          <w:rFonts w:ascii="Times New Roman" w:hAnsi="Times New Roman" w:cs="Times New Roman"/>
          <w:i/>
          <w:sz w:val="24"/>
          <w:szCs w:val="24"/>
        </w:rPr>
        <w:t xml:space="preserve">supra, </w:t>
      </w:r>
      <w:r w:rsidR="00E16707">
        <w:rPr>
          <w:rFonts w:ascii="Times New Roman" w:hAnsi="Times New Roman" w:cs="Times New Roman"/>
          <w:sz w:val="24"/>
          <w:szCs w:val="24"/>
        </w:rPr>
        <w:t xml:space="preserve">at 153.  This distinction would often focus on whether the taxed entity had some outlet, sales personnel, or property within the taxing State, and would except States which were taxed solely because they made a mail catalog available to State residents.  </w:t>
      </w:r>
      <w:r w:rsidR="00E16707">
        <w:rPr>
          <w:rFonts w:ascii="Times New Roman" w:hAnsi="Times New Roman" w:cs="Times New Roman"/>
          <w:i/>
          <w:sz w:val="24"/>
          <w:szCs w:val="24"/>
        </w:rPr>
        <w:t xml:space="preserve">Id.  </w:t>
      </w:r>
      <w:r w:rsidR="00E16707">
        <w:rPr>
          <w:rFonts w:ascii="Times New Roman" w:hAnsi="Times New Roman" w:cs="Times New Roman"/>
          <w:sz w:val="24"/>
          <w:szCs w:val="24"/>
        </w:rPr>
        <w:t xml:space="preserve"> This test was similar to the Court’s “minimum contacts” test for personal jurisdiction under the Due Process Clause, in that a business was permitted to have incidental contacts with the State, but those contacts were required to show a fair relation between the tax and the benefits conferred by the tax itself.  71 Am. </w:t>
      </w:r>
      <w:proofErr w:type="spellStart"/>
      <w:r w:rsidR="00E16707">
        <w:rPr>
          <w:rFonts w:ascii="Times New Roman" w:hAnsi="Times New Roman" w:cs="Times New Roman"/>
          <w:sz w:val="24"/>
          <w:szCs w:val="24"/>
        </w:rPr>
        <w:t>Jur</w:t>
      </w:r>
      <w:proofErr w:type="spellEnd"/>
      <w:r w:rsidR="00E16707">
        <w:rPr>
          <w:rFonts w:ascii="Times New Roman" w:hAnsi="Times New Roman" w:cs="Times New Roman"/>
          <w:sz w:val="24"/>
          <w:szCs w:val="24"/>
        </w:rPr>
        <w:t xml:space="preserve">., </w:t>
      </w:r>
      <w:r w:rsidR="00E16707">
        <w:rPr>
          <w:rFonts w:ascii="Times New Roman" w:hAnsi="Times New Roman" w:cs="Times New Roman"/>
          <w:i/>
          <w:sz w:val="24"/>
          <w:szCs w:val="24"/>
        </w:rPr>
        <w:t xml:space="preserve">supra, </w:t>
      </w:r>
      <w:r w:rsidR="00E16707">
        <w:rPr>
          <w:rFonts w:ascii="Times New Roman" w:hAnsi="Times New Roman" w:cs="Times New Roman"/>
          <w:sz w:val="24"/>
          <w:szCs w:val="24"/>
        </w:rPr>
        <w:t xml:space="preserve">§ 158.  By way of contrast, the second element was related less to the taxed entities’ conduct within the State, and more with surrounding obligations of other States.  </w:t>
      </w:r>
      <w:proofErr w:type="spellStart"/>
      <w:r w:rsidR="00E16707">
        <w:rPr>
          <w:rFonts w:ascii="Times New Roman" w:hAnsi="Times New Roman" w:cs="Times New Roman"/>
          <w:sz w:val="24"/>
          <w:szCs w:val="24"/>
        </w:rPr>
        <w:t>Hames</w:t>
      </w:r>
      <w:proofErr w:type="spellEnd"/>
      <w:r w:rsidR="00E16707">
        <w:rPr>
          <w:rFonts w:ascii="Times New Roman" w:hAnsi="Times New Roman" w:cs="Times New Roman"/>
          <w:sz w:val="24"/>
          <w:szCs w:val="24"/>
        </w:rPr>
        <w:t xml:space="preserve"> &amp; </w:t>
      </w:r>
      <w:proofErr w:type="spellStart"/>
      <w:r w:rsidR="00E16707">
        <w:rPr>
          <w:rFonts w:ascii="Times New Roman" w:hAnsi="Times New Roman" w:cs="Times New Roman"/>
          <w:sz w:val="24"/>
          <w:szCs w:val="24"/>
        </w:rPr>
        <w:t>Ekern</w:t>
      </w:r>
      <w:proofErr w:type="spellEnd"/>
      <w:r w:rsidR="00E16707">
        <w:rPr>
          <w:rFonts w:ascii="Times New Roman" w:hAnsi="Times New Roman" w:cs="Times New Roman"/>
          <w:sz w:val="24"/>
          <w:szCs w:val="24"/>
        </w:rPr>
        <w:t xml:space="preserve">, </w:t>
      </w:r>
      <w:r w:rsidR="00E16707">
        <w:rPr>
          <w:rFonts w:ascii="Times New Roman" w:hAnsi="Times New Roman" w:cs="Times New Roman"/>
          <w:i/>
          <w:sz w:val="24"/>
          <w:szCs w:val="24"/>
        </w:rPr>
        <w:t>supra</w:t>
      </w:r>
      <w:r w:rsidR="00E16707">
        <w:rPr>
          <w:rFonts w:ascii="Times New Roman" w:hAnsi="Times New Roman" w:cs="Times New Roman"/>
          <w:sz w:val="24"/>
          <w:szCs w:val="24"/>
        </w:rPr>
        <w:t xml:space="preserve">, at 153.   The Court’s requirement that a tax be “fairly apportioned” was aimed at preventing double taxation from other surrounding States, and would seek to ensure that a similar tax from another State would not result in a person being taxed twice for the same conduct.  </w:t>
      </w:r>
      <w:r w:rsidR="00E16707">
        <w:rPr>
          <w:rFonts w:ascii="Times New Roman" w:hAnsi="Times New Roman" w:cs="Times New Roman"/>
          <w:i/>
          <w:sz w:val="24"/>
          <w:szCs w:val="24"/>
        </w:rPr>
        <w:t>Id.</w:t>
      </w:r>
    </w:p>
    <w:p w14:paraId="292D8D5C" w14:textId="77777777" w:rsidR="007004AD" w:rsidRDefault="007004AD" w:rsidP="001F276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keystone case resolving these factors is </w:t>
      </w:r>
      <w:r>
        <w:rPr>
          <w:rFonts w:ascii="Times New Roman" w:hAnsi="Times New Roman" w:cs="Times New Roman"/>
          <w:i/>
          <w:sz w:val="24"/>
          <w:szCs w:val="24"/>
        </w:rPr>
        <w:t>Quill Corp v. North Dakota</w:t>
      </w:r>
      <w:r>
        <w:rPr>
          <w:rFonts w:ascii="Times New Roman" w:hAnsi="Times New Roman" w:cs="Times New Roman"/>
          <w:sz w:val="24"/>
          <w:szCs w:val="24"/>
        </w:rPr>
        <w:t xml:space="preserve">, 504 U.S. 298 (1992), in which the Court affirmed the requirement of a physical presence to levy taxes against an entity conducting </w:t>
      </w:r>
      <w:r w:rsidR="008B0054">
        <w:rPr>
          <w:rFonts w:ascii="Times New Roman" w:hAnsi="Times New Roman" w:cs="Times New Roman"/>
          <w:sz w:val="24"/>
          <w:szCs w:val="24"/>
        </w:rPr>
        <w:t>commercial</w:t>
      </w:r>
      <w:r>
        <w:rPr>
          <w:rFonts w:ascii="Times New Roman" w:hAnsi="Times New Roman" w:cs="Times New Roman"/>
          <w:sz w:val="24"/>
          <w:szCs w:val="24"/>
        </w:rPr>
        <w:t xml:space="preserve"> business within that State.  The procedural history of </w:t>
      </w:r>
      <w:r>
        <w:rPr>
          <w:rFonts w:ascii="Times New Roman" w:hAnsi="Times New Roman" w:cs="Times New Roman"/>
          <w:i/>
          <w:sz w:val="24"/>
          <w:szCs w:val="24"/>
        </w:rPr>
        <w:t xml:space="preserve">Quill Corp. </w:t>
      </w:r>
      <w:r>
        <w:rPr>
          <w:rFonts w:ascii="Times New Roman" w:hAnsi="Times New Roman" w:cs="Times New Roman"/>
          <w:sz w:val="24"/>
          <w:szCs w:val="24"/>
        </w:rPr>
        <w:t>is important to note</w:t>
      </w:r>
      <w:r w:rsidR="00CC092C">
        <w:rPr>
          <w:rFonts w:ascii="Times New Roman" w:hAnsi="Times New Roman" w:cs="Times New Roman"/>
          <w:sz w:val="24"/>
          <w:szCs w:val="24"/>
        </w:rPr>
        <w:t xml:space="preserve"> because it</w:t>
      </w:r>
      <w:r>
        <w:rPr>
          <w:rFonts w:ascii="Times New Roman" w:hAnsi="Times New Roman" w:cs="Times New Roman"/>
          <w:sz w:val="24"/>
          <w:szCs w:val="24"/>
        </w:rPr>
        <w:t xml:space="preserve"> mirrors the case of </w:t>
      </w:r>
      <w:r>
        <w:rPr>
          <w:rFonts w:ascii="Times New Roman" w:hAnsi="Times New Roman" w:cs="Times New Roman"/>
          <w:i/>
          <w:sz w:val="24"/>
          <w:szCs w:val="24"/>
        </w:rPr>
        <w:t>Wayfair</w:t>
      </w:r>
      <w:r>
        <w:rPr>
          <w:rFonts w:ascii="Times New Roman" w:hAnsi="Times New Roman" w:cs="Times New Roman"/>
          <w:sz w:val="24"/>
          <w:szCs w:val="24"/>
        </w:rPr>
        <w:t xml:space="preserve">, in that a State passed a law </w:t>
      </w:r>
      <w:r>
        <w:rPr>
          <w:rFonts w:ascii="Times New Roman" w:hAnsi="Times New Roman" w:cs="Times New Roman"/>
          <w:sz w:val="24"/>
          <w:szCs w:val="24"/>
        </w:rPr>
        <w:lastRenderedPageBreak/>
        <w:t>seeking to overturn Supreme Court precedent regarding taxation and the Dormant Commerce Clause</w:t>
      </w:r>
      <w:r w:rsidR="00CC092C">
        <w:rPr>
          <w:rFonts w:ascii="Times New Roman" w:hAnsi="Times New Roman" w:cs="Times New Roman"/>
          <w:sz w:val="24"/>
          <w:szCs w:val="24"/>
        </w:rPr>
        <w:t xml:space="preserve"> due to a substantive change in how commerce was evolving</w:t>
      </w:r>
      <w:r>
        <w:rPr>
          <w:rFonts w:ascii="Times New Roman" w:hAnsi="Times New Roman" w:cs="Times New Roman"/>
          <w:sz w:val="24"/>
          <w:szCs w:val="24"/>
        </w:rPr>
        <w:t xml:space="preserve">.  </w:t>
      </w:r>
      <w:r>
        <w:rPr>
          <w:rFonts w:ascii="Times New Roman" w:hAnsi="Times New Roman" w:cs="Times New Roman"/>
          <w:i/>
          <w:sz w:val="24"/>
          <w:szCs w:val="24"/>
        </w:rPr>
        <w:t>Id.</w:t>
      </w:r>
      <w:r>
        <w:rPr>
          <w:rFonts w:ascii="Times New Roman" w:hAnsi="Times New Roman" w:cs="Times New Roman"/>
          <w:sz w:val="24"/>
          <w:szCs w:val="24"/>
        </w:rPr>
        <w:t xml:space="preserve"> at 299.  The law in </w:t>
      </w:r>
      <w:r>
        <w:rPr>
          <w:rFonts w:ascii="Times New Roman" w:hAnsi="Times New Roman" w:cs="Times New Roman"/>
          <w:i/>
          <w:sz w:val="24"/>
          <w:szCs w:val="24"/>
        </w:rPr>
        <w:t xml:space="preserve">Quill </w:t>
      </w:r>
      <w:r>
        <w:rPr>
          <w:rFonts w:ascii="Times New Roman" w:hAnsi="Times New Roman" w:cs="Times New Roman"/>
          <w:sz w:val="24"/>
          <w:szCs w:val="24"/>
        </w:rPr>
        <w:t>was a North Dakota statute which required “every person who engages in regular or systematic solicitation of a consumer market in the State” to collect tax from a consumer and remit it to the State.  N.D. Cent. Code § 57.40.8-07 (1991).</w:t>
      </w:r>
      <w:r w:rsidR="00CC092C">
        <w:rPr>
          <w:rFonts w:ascii="Times New Roman" w:hAnsi="Times New Roman" w:cs="Times New Roman"/>
          <w:sz w:val="24"/>
          <w:szCs w:val="24"/>
        </w:rPr>
        <w:t xml:space="preserve">  The law was amended in 1987 to target mail-order companies specifically, like </w:t>
      </w:r>
      <w:r w:rsidR="00CC092C">
        <w:rPr>
          <w:rFonts w:ascii="Times New Roman" w:hAnsi="Times New Roman" w:cs="Times New Roman"/>
          <w:i/>
          <w:sz w:val="24"/>
          <w:szCs w:val="24"/>
        </w:rPr>
        <w:t>Quill Corp.</w:t>
      </w:r>
      <w:r w:rsidR="00CC092C">
        <w:rPr>
          <w:rFonts w:ascii="Times New Roman" w:hAnsi="Times New Roman" w:cs="Times New Roman"/>
          <w:sz w:val="24"/>
          <w:szCs w:val="24"/>
        </w:rPr>
        <w:t>, who was deriving revenue from North Dakota, but not remitting any taxes</w:t>
      </w:r>
      <w:r w:rsidR="008B0054">
        <w:rPr>
          <w:rFonts w:ascii="Times New Roman" w:hAnsi="Times New Roman" w:cs="Times New Roman"/>
          <w:sz w:val="24"/>
          <w:szCs w:val="24"/>
        </w:rPr>
        <w:t xml:space="preserve"> because it did not have an offices, employees or property located within North Dakota</w:t>
      </w:r>
      <w:r w:rsidR="00CC092C">
        <w:rPr>
          <w:rFonts w:ascii="Times New Roman" w:hAnsi="Times New Roman" w:cs="Times New Roman"/>
          <w:sz w:val="24"/>
          <w:szCs w:val="24"/>
        </w:rPr>
        <w:t xml:space="preserve">.  </w:t>
      </w:r>
      <w:r w:rsidR="00CC092C">
        <w:rPr>
          <w:rFonts w:ascii="Times New Roman" w:hAnsi="Times New Roman" w:cs="Times New Roman"/>
          <w:i/>
          <w:sz w:val="24"/>
          <w:szCs w:val="24"/>
        </w:rPr>
        <w:t>Quill Corp.</w:t>
      </w:r>
      <w:r w:rsidR="00CC092C">
        <w:rPr>
          <w:rFonts w:ascii="Times New Roman" w:hAnsi="Times New Roman" w:cs="Times New Roman"/>
          <w:sz w:val="24"/>
          <w:szCs w:val="24"/>
        </w:rPr>
        <w:t xml:space="preserve">, 504 U.S. at </w:t>
      </w:r>
      <w:r w:rsidR="008B0054">
        <w:rPr>
          <w:rFonts w:ascii="Times New Roman" w:hAnsi="Times New Roman" w:cs="Times New Roman"/>
          <w:sz w:val="24"/>
          <w:szCs w:val="24"/>
        </w:rPr>
        <w:t>302</w:t>
      </w:r>
      <w:r w:rsidR="00CC092C">
        <w:rPr>
          <w:rFonts w:ascii="Times New Roman" w:hAnsi="Times New Roman" w:cs="Times New Roman"/>
          <w:sz w:val="24"/>
          <w:szCs w:val="24"/>
        </w:rPr>
        <w:t>.</w:t>
      </w:r>
    </w:p>
    <w:p w14:paraId="5394DCDC" w14:textId="77777777" w:rsidR="008B0054" w:rsidRDefault="008B0054" w:rsidP="008B005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key aspect about the North Dakota law was that it was not trying to comply with the Court’s precedent, but instead it was making a direct challenge to the Court to change the existing standard.  The North Dakota Supreme Court, which issued the lower decision before the case came to the Supreme Court, agreed with the State’s position and held that the evolving nature of commerce and business required the legal system to overrule the physical presence requirement.  </w:t>
      </w:r>
      <w:r>
        <w:rPr>
          <w:rFonts w:ascii="Times New Roman" w:hAnsi="Times New Roman" w:cs="Times New Roman"/>
          <w:i/>
          <w:sz w:val="24"/>
          <w:szCs w:val="24"/>
        </w:rPr>
        <w:t xml:space="preserve">Id </w:t>
      </w:r>
      <w:r>
        <w:rPr>
          <w:rFonts w:ascii="Times New Roman" w:hAnsi="Times New Roman" w:cs="Times New Roman"/>
          <w:sz w:val="24"/>
          <w:szCs w:val="24"/>
        </w:rPr>
        <w:t xml:space="preserve">at 303.   In particular, the lower Court noted how mail order businesses went from a “relatively inconsequential market niche” to a “goliath with annual sales that reached the staggering figure of 183.3 billion dollars in 1989, with </w:t>
      </w:r>
      <w:r>
        <w:rPr>
          <w:rFonts w:ascii="Times New Roman" w:hAnsi="Times New Roman" w:cs="Times New Roman"/>
          <w:i/>
          <w:sz w:val="24"/>
          <w:szCs w:val="24"/>
        </w:rPr>
        <w:t xml:space="preserve">Quill Corp. </w:t>
      </w:r>
      <w:r>
        <w:rPr>
          <w:rFonts w:ascii="Times New Roman" w:hAnsi="Times New Roman" w:cs="Times New Roman"/>
          <w:sz w:val="24"/>
          <w:szCs w:val="24"/>
        </w:rPr>
        <w:t xml:space="preserve">being no exception.  </w:t>
      </w:r>
      <w:r>
        <w:rPr>
          <w:rFonts w:ascii="Times New Roman" w:hAnsi="Times New Roman" w:cs="Times New Roman"/>
          <w:i/>
          <w:sz w:val="24"/>
          <w:szCs w:val="24"/>
        </w:rPr>
        <w:t xml:space="preserve">Id.  </w:t>
      </w:r>
      <w:r>
        <w:rPr>
          <w:rFonts w:ascii="Times New Roman" w:hAnsi="Times New Roman" w:cs="Times New Roman"/>
          <w:sz w:val="24"/>
          <w:szCs w:val="24"/>
        </w:rPr>
        <w:t xml:space="preserve">Therefore, it was possible for companies to derive a significant amount of revenue from a State, but be exempt from taxes on account of how the economic landscape had changed.  </w:t>
      </w:r>
      <w:r>
        <w:rPr>
          <w:rFonts w:ascii="Times New Roman" w:hAnsi="Times New Roman" w:cs="Times New Roman"/>
          <w:i/>
          <w:sz w:val="24"/>
          <w:szCs w:val="24"/>
        </w:rPr>
        <w:t xml:space="preserve">Id.  </w:t>
      </w:r>
      <w:r>
        <w:rPr>
          <w:rFonts w:ascii="Times New Roman" w:hAnsi="Times New Roman" w:cs="Times New Roman"/>
          <w:sz w:val="24"/>
          <w:szCs w:val="24"/>
        </w:rPr>
        <w:t xml:space="preserve">The lower court continued to note that overruling the physical presence standard was still in line with the policy of the Dormant Commerce Clause test, since mail order companies maintained an economic presence within the State that transcended physical location.  </w:t>
      </w:r>
      <w:r>
        <w:rPr>
          <w:rFonts w:ascii="Times New Roman" w:hAnsi="Times New Roman" w:cs="Times New Roman"/>
          <w:i/>
          <w:sz w:val="24"/>
          <w:szCs w:val="24"/>
        </w:rPr>
        <w:t xml:space="preserve">Id.  </w:t>
      </w:r>
      <w:r>
        <w:rPr>
          <w:rFonts w:ascii="Times New Roman" w:hAnsi="Times New Roman" w:cs="Times New Roman"/>
          <w:sz w:val="24"/>
          <w:szCs w:val="24"/>
        </w:rPr>
        <w:t xml:space="preserve">The lower Court noted that mail order companies were still using State services, such as the mail, the roads, the court system, etc., but were avoiding paying for those services on account of the ease with which </w:t>
      </w:r>
      <w:r>
        <w:rPr>
          <w:rFonts w:ascii="Times New Roman" w:hAnsi="Times New Roman" w:cs="Times New Roman"/>
          <w:sz w:val="24"/>
          <w:szCs w:val="24"/>
        </w:rPr>
        <w:lastRenderedPageBreak/>
        <w:t xml:space="preserve">transportation and communication had adapted with the internet.  </w:t>
      </w:r>
      <w:r>
        <w:rPr>
          <w:rFonts w:ascii="Times New Roman" w:hAnsi="Times New Roman" w:cs="Times New Roman"/>
          <w:i/>
          <w:sz w:val="24"/>
          <w:szCs w:val="24"/>
        </w:rPr>
        <w:t xml:space="preserve">Id.  </w:t>
      </w:r>
      <w:r>
        <w:rPr>
          <w:rFonts w:ascii="Times New Roman" w:hAnsi="Times New Roman" w:cs="Times New Roman"/>
          <w:sz w:val="24"/>
          <w:szCs w:val="24"/>
        </w:rPr>
        <w:t xml:space="preserve">In full, the lower Court asserted that while the test was changing, the policy underlying the test would still remain the same.  </w:t>
      </w:r>
    </w:p>
    <w:p w14:paraId="10E9C6FB" w14:textId="77777777" w:rsidR="00523AF6" w:rsidRDefault="00D83234" w:rsidP="00523AF6">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Despite the lower Court’s arguments, the Supreme Court reversed the North Dakota Supreme Court’s decision and affirmed the physical location requirement.  </w:t>
      </w:r>
      <w:r>
        <w:rPr>
          <w:rFonts w:ascii="Times New Roman" w:hAnsi="Times New Roman" w:cs="Times New Roman"/>
          <w:i/>
          <w:sz w:val="24"/>
          <w:szCs w:val="24"/>
        </w:rPr>
        <w:t xml:space="preserve">Id. </w:t>
      </w:r>
      <w:r>
        <w:rPr>
          <w:rFonts w:ascii="Times New Roman" w:hAnsi="Times New Roman" w:cs="Times New Roman"/>
          <w:sz w:val="24"/>
          <w:szCs w:val="24"/>
        </w:rPr>
        <w:t xml:space="preserve">at 311-312.  Although the Court recognized that the evolution of commerce has changed the landscape under which the Court issued its previous opinions, the Court preferred a bright-line test that would reduce ambiguity and inconsistency in how taxation was implemented.  </w:t>
      </w:r>
      <w:r>
        <w:rPr>
          <w:rFonts w:ascii="Times New Roman" w:hAnsi="Times New Roman" w:cs="Times New Roman"/>
          <w:i/>
          <w:sz w:val="24"/>
          <w:szCs w:val="24"/>
        </w:rPr>
        <w:t xml:space="preserve">Id. </w:t>
      </w:r>
      <w:r>
        <w:rPr>
          <w:rFonts w:ascii="Times New Roman" w:hAnsi="Times New Roman" w:cs="Times New Roman"/>
          <w:sz w:val="24"/>
          <w:szCs w:val="24"/>
        </w:rPr>
        <w:t xml:space="preserve">at 315.  The Court recognized that taxation can be a “quagmire” and that providing simple rules to follow will encourage investment from local and foreign businesses.  </w:t>
      </w:r>
      <w:r>
        <w:rPr>
          <w:rFonts w:ascii="Times New Roman" w:hAnsi="Times New Roman" w:cs="Times New Roman"/>
          <w:i/>
          <w:sz w:val="24"/>
          <w:szCs w:val="24"/>
        </w:rPr>
        <w:t xml:space="preserve">Id.  </w:t>
      </w:r>
      <w:r>
        <w:rPr>
          <w:rFonts w:ascii="Times New Roman" w:hAnsi="Times New Roman" w:cs="Times New Roman"/>
          <w:sz w:val="24"/>
          <w:szCs w:val="24"/>
        </w:rPr>
        <w:t xml:space="preserve">Additionally, the Court noted its own hesitancy in overruling precedent, holding that unless the test was anachronistic, unfollowed, or truly unworkable, the Court would not stray from previous decisions.  </w:t>
      </w:r>
      <w:r>
        <w:rPr>
          <w:rFonts w:ascii="Times New Roman" w:hAnsi="Times New Roman" w:cs="Times New Roman"/>
          <w:i/>
          <w:sz w:val="24"/>
          <w:szCs w:val="24"/>
        </w:rPr>
        <w:t xml:space="preserve">Id. </w:t>
      </w:r>
      <w:r>
        <w:rPr>
          <w:rFonts w:ascii="Times New Roman" w:hAnsi="Times New Roman" w:cs="Times New Roman"/>
          <w:sz w:val="24"/>
          <w:szCs w:val="24"/>
        </w:rPr>
        <w:t>at 317.</w:t>
      </w:r>
      <w:r w:rsidR="00523AF6">
        <w:rPr>
          <w:rFonts w:ascii="Times New Roman" w:hAnsi="Times New Roman" w:cs="Times New Roman"/>
          <w:sz w:val="24"/>
          <w:szCs w:val="24"/>
        </w:rPr>
        <w:t xml:space="preserve">  Since the Court has used the physical requirement test with successful results, the Court held that it was not the time to overrule the standard, even though North Dakota presented compelling arguments in its favor.  </w:t>
      </w:r>
      <w:r w:rsidR="00523AF6">
        <w:rPr>
          <w:rFonts w:ascii="Times New Roman" w:hAnsi="Times New Roman" w:cs="Times New Roman"/>
          <w:i/>
          <w:sz w:val="24"/>
          <w:szCs w:val="24"/>
        </w:rPr>
        <w:t>Id.</w:t>
      </w:r>
    </w:p>
    <w:p w14:paraId="7383439A" w14:textId="77777777" w:rsidR="00523AF6" w:rsidRDefault="00523AF6" w:rsidP="00523AF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ARGUMENTS</w:t>
      </w:r>
    </w:p>
    <w:p w14:paraId="0DC56289" w14:textId="77777777" w:rsidR="00CA1D65" w:rsidRPr="00CA1D65" w:rsidRDefault="00CA1D65" w:rsidP="00523AF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The Defendant (South Dakota)</w:t>
      </w:r>
    </w:p>
    <w:p w14:paraId="6861D159" w14:textId="77777777" w:rsidR="008F6B44" w:rsidRDefault="00523AF6" w:rsidP="00523AF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 xml:space="preserve">Wayfair, </w:t>
      </w:r>
      <w:r>
        <w:rPr>
          <w:rFonts w:ascii="Times New Roman" w:hAnsi="Times New Roman" w:cs="Times New Roman"/>
          <w:sz w:val="24"/>
          <w:szCs w:val="24"/>
        </w:rPr>
        <w:t xml:space="preserve">South Dakota is presenting the same arguments presented in </w:t>
      </w:r>
      <w:r>
        <w:rPr>
          <w:rFonts w:ascii="Times New Roman" w:hAnsi="Times New Roman" w:cs="Times New Roman"/>
          <w:i/>
          <w:sz w:val="24"/>
          <w:szCs w:val="24"/>
        </w:rPr>
        <w:t>Quill</w:t>
      </w:r>
      <w:r>
        <w:rPr>
          <w:rFonts w:ascii="Times New Roman" w:hAnsi="Times New Roman" w:cs="Times New Roman"/>
          <w:sz w:val="24"/>
          <w:szCs w:val="24"/>
        </w:rPr>
        <w:t xml:space="preserve">, in that South Dakota is aware that S.D. Codified Laws § 10-45-27.3 is against current Supreme Court precedent; however, South Dakota asserts that the current internet market requires this Court to amend its previous rule.  </w:t>
      </w:r>
      <w:r>
        <w:rPr>
          <w:rFonts w:ascii="Times New Roman" w:hAnsi="Times New Roman" w:cs="Times New Roman"/>
          <w:i/>
          <w:sz w:val="24"/>
          <w:szCs w:val="24"/>
        </w:rPr>
        <w:t xml:space="preserve">Wayfair, </w:t>
      </w:r>
      <w:r>
        <w:rPr>
          <w:rFonts w:ascii="Times New Roman" w:hAnsi="Times New Roman" w:cs="Times New Roman"/>
          <w:sz w:val="24"/>
          <w:szCs w:val="24"/>
        </w:rPr>
        <w:t xml:space="preserve">901 N.W.2d at 758.  Although it may be tempting to dismiss this argument out of hand, there is reason to believe that the Supreme Court is receptive to </w:t>
      </w:r>
      <w:r>
        <w:rPr>
          <w:rFonts w:ascii="Times New Roman" w:hAnsi="Times New Roman" w:cs="Times New Roman"/>
          <w:sz w:val="24"/>
          <w:szCs w:val="24"/>
        </w:rPr>
        <w:lastRenderedPageBreak/>
        <w:t xml:space="preserve">overruling the physical requirement based on the 2015 case of </w:t>
      </w:r>
      <w:r>
        <w:rPr>
          <w:rFonts w:ascii="Times New Roman" w:hAnsi="Times New Roman" w:cs="Times New Roman"/>
          <w:i/>
          <w:sz w:val="24"/>
          <w:szCs w:val="24"/>
        </w:rPr>
        <w:t xml:space="preserve">Direct Mktg. </w:t>
      </w:r>
      <w:proofErr w:type="spellStart"/>
      <w:r>
        <w:rPr>
          <w:rFonts w:ascii="Times New Roman" w:hAnsi="Times New Roman" w:cs="Times New Roman"/>
          <w:i/>
          <w:sz w:val="24"/>
          <w:szCs w:val="24"/>
        </w:rPr>
        <w:t>Ass’n</w:t>
      </w:r>
      <w:proofErr w:type="spellEnd"/>
      <w:r>
        <w:rPr>
          <w:rFonts w:ascii="Times New Roman" w:hAnsi="Times New Roman" w:cs="Times New Roman"/>
          <w:i/>
          <w:sz w:val="24"/>
          <w:szCs w:val="24"/>
        </w:rPr>
        <w:t xml:space="preserve"> v. </w:t>
      </w:r>
      <w:proofErr w:type="spellStart"/>
      <w:r>
        <w:rPr>
          <w:rFonts w:ascii="Times New Roman" w:hAnsi="Times New Roman" w:cs="Times New Roman"/>
          <w:i/>
          <w:sz w:val="24"/>
          <w:szCs w:val="24"/>
        </w:rPr>
        <w:t>Brohl</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135 </w:t>
      </w:r>
      <w:proofErr w:type="spellStart"/>
      <w:r>
        <w:rPr>
          <w:rFonts w:ascii="Times New Roman" w:hAnsi="Times New Roman" w:cs="Times New Roman"/>
          <w:sz w:val="24"/>
          <w:szCs w:val="24"/>
        </w:rPr>
        <w:t>S.Ct</w:t>
      </w:r>
      <w:proofErr w:type="spellEnd"/>
      <w:r>
        <w:rPr>
          <w:rFonts w:ascii="Times New Roman" w:hAnsi="Times New Roman" w:cs="Times New Roman"/>
          <w:sz w:val="24"/>
          <w:szCs w:val="24"/>
        </w:rPr>
        <w:t xml:space="preserve">. 1124 (US 2015).  In </w:t>
      </w:r>
      <w:proofErr w:type="spellStart"/>
      <w:r>
        <w:rPr>
          <w:rFonts w:ascii="Times New Roman" w:hAnsi="Times New Roman" w:cs="Times New Roman"/>
          <w:i/>
          <w:sz w:val="24"/>
          <w:szCs w:val="24"/>
        </w:rPr>
        <w:t>Brohl</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the Court was asked to determine the constitutionality of a Colorado statute that did not require sellers to pay a tax, but </w:t>
      </w:r>
      <w:r w:rsidR="008F6B44">
        <w:rPr>
          <w:rFonts w:ascii="Times New Roman" w:hAnsi="Times New Roman" w:cs="Times New Roman"/>
          <w:sz w:val="24"/>
          <w:szCs w:val="24"/>
        </w:rPr>
        <w:t xml:space="preserve">asked the consumers who purchased products from out of state businesses to remit the taxes themselves.  </w:t>
      </w:r>
      <w:r w:rsidR="008F6B44">
        <w:rPr>
          <w:rFonts w:ascii="Times New Roman" w:hAnsi="Times New Roman" w:cs="Times New Roman"/>
          <w:i/>
          <w:sz w:val="24"/>
          <w:szCs w:val="24"/>
        </w:rPr>
        <w:t>Id.</w:t>
      </w:r>
      <w:r w:rsidR="008F6B44">
        <w:rPr>
          <w:rFonts w:ascii="Times New Roman" w:hAnsi="Times New Roman" w:cs="Times New Roman"/>
          <w:sz w:val="24"/>
          <w:szCs w:val="24"/>
        </w:rPr>
        <w:t xml:space="preserve"> at 1127.  Although voluntary compliance with the law was low, consumers in Colorado challenged the law as a violation of the Dormant Commerce Clause, since the law was taxing conduct that was outside of its borders.  </w:t>
      </w:r>
      <w:r w:rsidR="008F6B44">
        <w:rPr>
          <w:rFonts w:ascii="Times New Roman" w:hAnsi="Times New Roman" w:cs="Times New Roman"/>
          <w:i/>
          <w:sz w:val="24"/>
          <w:szCs w:val="24"/>
        </w:rPr>
        <w:t xml:space="preserve">Id. </w:t>
      </w:r>
      <w:r w:rsidR="008F6B44">
        <w:rPr>
          <w:rFonts w:ascii="Times New Roman" w:hAnsi="Times New Roman" w:cs="Times New Roman"/>
          <w:sz w:val="24"/>
          <w:szCs w:val="24"/>
        </w:rPr>
        <w:t xml:space="preserve">at 1128.  </w:t>
      </w:r>
    </w:p>
    <w:p w14:paraId="0BA92A49" w14:textId="77777777" w:rsidR="00523AF6" w:rsidRDefault="008F6B44" w:rsidP="008F6B44">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Although the Court upheld the Colorado statute, the more interesting part of the decision was in a concurring decision written by Supreme Court Justice Anthony Kennedy, who questioned whether the usefulness of the </w:t>
      </w:r>
      <w:r>
        <w:rPr>
          <w:rFonts w:ascii="Times New Roman" w:hAnsi="Times New Roman" w:cs="Times New Roman"/>
          <w:i/>
          <w:sz w:val="24"/>
          <w:szCs w:val="24"/>
        </w:rPr>
        <w:t xml:space="preserve">Quill Corp. </w:t>
      </w:r>
      <w:r>
        <w:rPr>
          <w:rFonts w:ascii="Times New Roman" w:hAnsi="Times New Roman" w:cs="Times New Roman"/>
          <w:sz w:val="24"/>
          <w:szCs w:val="24"/>
        </w:rPr>
        <w:t xml:space="preserve">doctrine had expired with the new economy.  </w:t>
      </w:r>
      <w:r>
        <w:rPr>
          <w:rFonts w:ascii="Times New Roman" w:hAnsi="Times New Roman" w:cs="Times New Roman"/>
          <w:i/>
          <w:sz w:val="24"/>
          <w:szCs w:val="24"/>
        </w:rPr>
        <w:t xml:space="preserve">Id. </w:t>
      </w:r>
      <w:r>
        <w:rPr>
          <w:rFonts w:ascii="Times New Roman" w:hAnsi="Times New Roman" w:cs="Times New Roman"/>
          <w:sz w:val="24"/>
          <w:szCs w:val="24"/>
        </w:rPr>
        <w:t xml:space="preserve">at 1135.  Justice Kennedy pointed out that States across the country are experiencing increasing difficulty in obtaining taxes from out-of-state businesses, referencing the fact that California was only able to collect four percent (4%) of the taxes on the total out of state business.  </w:t>
      </w:r>
      <w:r>
        <w:rPr>
          <w:rFonts w:ascii="Times New Roman" w:hAnsi="Times New Roman" w:cs="Times New Roman"/>
          <w:i/>
          <w:sz w:val="24"/>
          <w:szCs w:val="24"/>
        </w:rPr>
        <w:t xml:space="preserve">Id.  </w:t>
      </w:r>
      <w:r>
        <w:rPr>
          <w:rFonts w:ascii="Times New Roman" w:hAnsi="Times New Roman" w:cs="Times New Roman"/>
          <w:sz w:val="24"/>
          <w:szCs w:val="24"/>
        </w:rPr>
        <w:t xml:space="preserve">Justice Kennedy additionally noted that the internet has brought the physical presence of local business to the finger-tips of the everyday consumer, as businesses do not need a physical presence to have an economic impact on the States they transact in.  </w:t>
      </w:r>
      <w:r>
        <w:rPr>
          <w:rFonts w:ascii="Times New Roman" w:hAnsi="Times New Roman" w:cs="Times New Roman"/>
          <w:i/>
          <w:sz w:val="24"/>
          <w:szCs w:val="24"/>
        </w:rPr>
        <w:t xml:space="preserve">Id.  </w:t>
      </w:r>
      <w:r>
        <w:rPr>
          <w:rFonts w:ascii="Times New Roman" w:hAnsi="Times New Roman" w:cs="Times New Roman"/>
          <w:sz w:val="24"/>
          <w:szCs w:val="24"/>
        </w:rPr>
        <w:t xml:space="preserve">In conclusion, Kennedy questioned whether </w:t>
      </w:r>
      <w:r>
        <w:rPr>
          <w:rFonts w:ascii="Times New Roman" w:hAnsi="Times New Roman" w:cs="Times New Roman"/>
          <w:i/>
          <w:sz w:val="24"/>
          <w:szCs w:val="24"/>
        </w:rPr>
        <w:t>Quill</w:t>
      </w:r>
      <w:r>
        <w:rPr>
          <w:rFonts w:ascii="Times New Roman" w:hAnsi="Times New Roman" w:cs="Times New Roman"/>
          <w:sz w:val="24"/>
          <w:szCs w:val="24"/>
        </w:rPr>
        <w:t xml:space="preserve"> </w:t>
      </w:r>
      <w:r>
        <w:rPr>
          <w:rFonts w:ascii="Times New Roman" w:hAnsi="Times New Roman" w:cs="Times New Roman"/>
          <w:i/>
          <w:sz w:val="24"/>
          <w:szCs w:val="24"/>
        </w:rPr>
        <w:t xml:space="preserve">Corp. </w:t>
      </w:r>
      <w:r>
        <w:rPr>
          <w:rFonts w:ascii="Times New Roman" w:hAnsi="Times New Roman" w:cs="Times New Roman"/>
          <w:sz w:val="24"/>
          <w:szCs w:val="24"/>
        </w:rPr>
        <w:t xml:space="preserve">serves more as a harm to States than it could have been anticipated and that the “legal system should find an appropriate case for this Court to re-examine </w:t>
      </w:r>
      <w:r>
        <w:rPr>
          <w:rFonts w:ascii="Times New Roman" w:hAnsi="Times New Roman" w:cs="Times New Roman"/>
          <w:i/>
          <w:sz w:val="24"/>
          <w:szCs w:val="24"/>
        </w:rPr>
        <w:t>Quill</w:t>
      </w:r>
      <w:r>
        <w:rPr>
          <w:rFonts w:ascii="Times New Roman" w:hAnsi="Times New Roman" w:cs="Times New Roman"/>
          <w:sz w:val="24"/>
          <w:szCs w:val="24"/>
        </w:rPr>
        <w:t xml:space="preserve">”.  </w:t>
      </w:r>
      <w:r>
        <w:rPr>
          <w:rFonts w:ascii="Times New Roman" w:hAnsi="Times New Roman" w:cs="Times New Roman"/>
          <w:i/>
          <w:sz w:val="24"/>
          <w:szCs w:val="24"/>
        </w:rPr>
        <w:t>Id.</w:t>
      </w:r>
    </w:p>
    <w:p w14:paraId="73C7FC05" w14:textId="77777777" w:rsidR="008F6B44" w:rsidRDefault="008F6B44" w:rsidP="008F6B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South Dakota was most </w:t>
      </w:r>
      <w:r w:rsidR="004A302D">
        <w:rPr>
          <w:rFonts w:ascii="Times New Roman" w:hAnsi="Times New Roman" w:cs="Times New Roman"/>
          <w:sz w:val="24"/>
          <w:szCs w:val="24"/>
        </w:rPr>
        <w:t>forthright</w:t>
      </w:r>
      <w:r>
        <w:rPr>
          <w:rFonts w:ascii="Times New Roman" w:hAnsi="Times New Roman" w:cs="Times New Roman"/>
          <w:sz w:val="24"/>
          <w:szCs w:val="24"/>
        </w:rPr>
        <w:t xml:space="preserve"> with taking Kennedy’s suggestions to the legislative floor, other States have taken action to show how internet retailers </w:t>
      </w:r>
      <w:r w:rsidR="00CA1D65">
        <w:rPr>
          <w:rFonts w:ascii="Times New Roman" w:hAnsi="Times New Roman" w:cs="Times New Roman"/>
          <w:sz w:val="24"/>
          <w:szCs w:val="24"/>
        </w:rPr>
        <w:t>could meet</w:t>
      </w:r>
      <w:r>
        <w:rPr>
          <w:rFonts w:ascii="Times New Roman" w:hAnsi="Times New Roman" w:cs="Times New Roman"/>
          <w:sz w:val="24"/>
          <w:szCs w:val="24"/>
        </w:rPr>
        <w:t xml:space="preserve"> the “substantial nexus” test of the Dormant Commerce Clause</w:t>
      </w:r>
      <w:r w:rsidR="00CA1D65">
        <w:rPr>
          <w:rFonts w:ascii="Times New Roman" w:hAnsi="Times New Roman" w:cs="Times New Roman"/>
          <w:sz w:val="24"/>
          <w:szCs w:val="24"/>
        </w:rPr>
        <w:t>, even if there was not a brick and mortar physical location within the State</w:t>
      </w:r>
      <w:r>
        <w:rPr>
          <w:rFonts w:ascii="Times New Roman" w:hAnsi="Times New Roman" w:cs="Times New Roman"/>
          <w:sz w:val="24"/>
          <w:szCs w:val="24"/>
        </w:rPr>
        <w:t xml:space="preserve">.  </w:t>
      </w:r>
      <w:r>
        <w:rPr>
          <w:rFonts w:ascii="Times New Roman" w:hAnsi="Times New Roman" w:cs="Times New Roman"/>
          <w:i/>
          <w:sz w:val="24"/>
          <w:szCs w:val="24"/>
        </w:rPr>
        <w:t xml:space="preserve">See, </w:t>
      </w:r>
      <w:r>
        <w:rPr>
          <w:rFonts w:ascii="Times New Roman" w:hAnsi="Times New Roman" w:cs="Times New Roman"/>
          <w:sz w:val="24"/>
          <w:szCs w:val="24"/>
        </w:rPr>
        <w:t xml:space="preserve">Robin Miller, Annotation, </w:t>
      </w:r>
      <w:r>
        <w:rPr>
          <w:rFonts w:ascii="Times New Roman" w:hAnsi="Times New Roman" w:cs="Times New Roman"/>
          <w:i/>
          <w:sz w:val="24"/>
          <w:szCs w:val="24"/>
        </w:rPr>
        <w:t xml:space="preserve">Validity, Construction, </w:t>
      </w:r>
      <w:r>
        <w:rPr>
          <w:rFonts w:ascii="Times New Roman" w:hAnsi="Times New Roman" w:cs="Times New Roman"/>
          <w:i/>
          <w:sz w:val="24"/>
          <w:szCs w:val="24"/>
        </w:rPr>
        <w:lastRenderedPageBreak/>
        <w:t>and Application of Sales, Use and Utility Taxes on Retail Transactions of Internet Sellers and Internet Access Providers</w:t>
      </w:r>
      <w:r>
        <w:rPr>
          <w:rFonts w:ascii="Times New Roman" w:hAnsi="Times New Roman" w:cs="Times New Roman"/>
          <w:sz w:val="24"/>
          <w:szCs w:val="24"/>
        </w:rPr>
        <w:t>, 30 A.L.R.6</w:t>
      </w:r>
      <w:r w:rsidRPr="008F6B44">
        <w:rPr>
          <w:rFonts w:ascii="Times New Roman" w:hAnsi="Times New Roman" w:cs="Times New Roman"/>
          <w:sz w:val="24"/>
          <w:szCs w:val="24"/>
          <w:vertAlign w:val="superscript"/>
        </w:rPr>
        <w:t>th</w:t>
      </w:r>
      <w:r>
        <w:rPr>
          <w:rFonts w:ascii="Times New Roman" w:hAnsi="Times New Roman" w:cs="Times New Roman"/>
          <w:sz w:val="24"/>
          <w:szCs w:val="24"/>
        </w:rPr>
        <w:t xml:space="preserve"> 341 (2018).</w:t>
      </w:r>
      <w:r w:rsidR="004A302D">
        <w:rPr>
          <w:rFonts w:ascii="Times New Roman" w:hAnsi="Times New Roman" w:cs="Times New Roman"/>
          <w:sz w:val="24"/>
          <w:szCs w:val="24"/>
        </w:rPr>
        <w:t xml:space="preserve">  In </w:t>
      </w:r>
      <w:r w:rsidR="004A302D">
        <w:rPr>
          <w:rFonts w:ascii="Times New Roman" w:hAnsi="Times New Roman" w:cs="Times New Roman"/>
          <w:i/>
          <w:sz w:val="24"/>
          <w:szCs w:val="24"/>
        </w:rPr>
        <w:t>Borders Online, LLC v. State Bd. of Equalization</w:t>
      </w:r>
      <w:r w:rsidR="004A302D">
        <w:rPr>
          <w:rFonts w:ascii="Times New Roman" w:hAnsi="Times New Roman" w:cs="Times New Roman"/>
          <w:sz w:val="24"/>
          <w:szCs w:val="24"/>
        </w:rPr>
        <w:t xml:space="preserve">, 29 Cal. </w:t>
      </w:r>
      <w:proofErr w:type="spellStart"/>
      <w:r w:rsidR="004A302D">
        <w:rPr>
          <w:rFonts w:ascii="Times New Roman" w:hAnsi="Times New Roman" w:cs="Times New Roman"/>
          <w:sz w:val="24"/>
          <w:szCs w:val="24"/>
        </w:rPr>
        <w:t>Rptr</w:t>
      </w:r>
      <w:proofErr w:type="spellEnd"/>
      <w:r w:rsidR="004A302D">
        <w:rPr>
          <w:rFonts w:ascii="Times New Roman" w:hAnsi="Times New Roman" w:cs="Times New Roman"/>
          <w:sz w:val="24"/>
          <w:szCs w:val="24"/>
        </w:rPr>
        <w:t xml:space="preserve">. 3d 176 (Cal. Ct. App. 2005), a California Statute which required an online book seller to remit State taxes was upheld on the basis that the online retailer had some physical locations within the State, despite there being little to no connection between the online department and the physical location.  </w:t>
      </w:r>
      <w:r w:rsidR="004A302D">
        <w:rPr>
          <w:rFonts w:ascii="Times New Roman" w:hAnsi="Times New Roman" w:cs="Times New Roman"/>
          <w:i/>
          <w:sz w:val="24"/>
          <w:szCs w:val="24"/>
        </w:rPr>
        <w:t>Id.</w:t>
      </w:r>
      <w:r w:rsidR="004A302D">
        <w:rPr>
          <w:rFonts w:ascii="Times New Roman" w:hAnsi="Times New Roman" w:cs="Times New Roman"/>
          <w:sz w:val="24"/>
          <w:szCs w:val="24"/>
        </w:rPr>
        <w:t xml:space="preserve"> at 184.  The Court held that any agency relationship satisfied the substantial nexus test, evidencing a relaxing standard to ensure that States could collect taxes.  </w:t>
      </w:r>
      <w:r w:rsidR="00CA1D65">
        <w:rPr>
          <w:rFonts w:ascii="Times New Roman" w:hAnsi="Times New Roman" w:cs="Times New Roman"/>
          <w:sz w:val="24"/>
          <w:szCs w:val="24"/>
        </w:rPr>
        <w:t xml:space="preserve"> In </w:t>
      </w:r>
      <w:r w:rsidR="00CA1D65">
        <w:rPr>
          <w:rFonts w:ascii="Times New Roman" w:hAnsi="Times New Roman" w:cs="Times New Roman"/>
          <w:i/>
          <w:sz w:val="24"/>
          <w:szCs w:val="24"/>
        </w:rPr>
        <w:t>State v. Dell Intern., Inc.</w:t>
      </w:r>
      <w:r w:rsidR="00CA1D65">
        <w:rPr>
          <w:rFonts w:ascii="Times New Roman" w:hAnsi="Times New Roman" w:cs="Times New Roman"/>
          <w:sz w:val="24"/>
          <w:szCs w:val="24"/>
        </w:rPr>
        <w:t xml:space="preserve">, 922 So. 2d 1257, 1258 (La. Ct. App. 2006), a Louisiana Court held that a substantial nexus was established with an online computer sales company, where the out-of-state business had a repair contract with a Louisiana business.  The Court held that even though the Company did not maintain a physical presence within the State, the repair company served a conduit to which the business was able to maintain marketing and commerce within State borders, which once again relaxed the previous standards for a physical location but still maintaining constitutionality.  </w:t>
      </w:r>
      <w:r w:rsidR="00CA1D65">
        <w:rPr>
          <w:rFonts w:ascii="Times New Roman" w:hAnsi="Times New Roman" w:cs="Times New Roman"/>
          <w:i/>
          <w:sz w:val="24"/>
          <w:szCs w:val="24"/>
        </w:rPr>
        <w:t xml:space="preserve">Id. </w:t>
      </w:r>
      <w:r w:rsidR="00CA1D65">
        <w:rPr>
          <w:rFonts w:ascii="Times New Roman" w:hAnsi="Times New Roman" w:cs="Times New Roman"/>
          <w:sz w:val="24"/>
          <w:szCs w:val="24"/>
        </w:rPr>
        <w:t>at 1263.</w:t>
      </w:r>
    </w:p>
    <w:p w14:paraId="5A1C5349" w14:textId="77777777" w:rsidR="00CA1D65" w:rsidRPr="00CA1D65" w:rsidRDefault="00CA1D65" w:rsidP="00CA1D6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b/>
          <w:sz w:val="24"/>
          <w:szCs w:val="24"/>
        </w:rPr>
        <w:tab/>
        <w:t>The Plaintiffs (Wayfair, Inc.)</w:t>
      </w:r>
    </w:p>
    <w:p w14:paraId="0BB400F2" w14:textId="77777777" w:rsidR="00CA1D65" w:rsidRDefault="00CA1D65" w:rsidP="00925E43">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South Dakota presents a compelling argument that the change in commerce warrants a new test, the plaintiffs possess a strong argument in the form of precedent and the Court’s adherence to stare decisis.</w:t>
      </w:r>
      <w:r w:rsidR="00925E43">
        <w:rPr>
          <w:rFonts w:ascii="Times New Roman" w:hAnsi="Times New Roman" w:cs="Times New Roman"/>
          <w:sz w:val="24"/>
          <w:szCs w:val="24"/>
        </w:rPr>
        <w:t xml:space="preserve">  The doctrine of stare decisis holds that all courts are instructed to adhere to principles established by previous courts when the facts are substantially the same.  20 Am. </w:t>
      </w:r>
      <w:proofErr w:type="spellStart"/>
      <w:r w:rsidR="00925E43">
        <w:rPr>
          <w:rFonts w:ascii="Times New Roman" w:hAnsi="Times New Roman" w:cs="Times New Roman"/>
          <w:sz w:val="24"/>
          <w:szCs w:val="24"/>
        </w:rPr>
        <w:t>Jur</w:t>
      </w:r>
      <w:proofErr w:type="spellEnd"/>
      <w:r w:rsidR="00925E43">
        <w:rPr>
          <w:rFonts w:ascii="Times New Roman" w:hAnsi="Times New Roman" w:cs="Times New Roman"/>
          <w:sz w:val="24"/>
          <w:szCs w:val="24"/>
        </w:rPr>
        <w:t xml:space="preserve">. 2d </w:t>
      </w:r>
      <w:r w:rsidR="00925E43">
        <w:rPr>
          <w:rFonts w:ascii="Times New Roman" w:hAnsi="Times New Roman" w:cs="Times New Roman"/>
          <w:i/>
          <w:sz w:val="24"/>
          <w:szCs w:val="24"/>
        </w:rPr>
        <w:t xml:space="preserve">Courts </w:t>
      </w:r>
      <w:r w:rsidR="00925E43">
        <w:rPr>
          <w:rFonts w:ascii="Times New Roman" w:hAnsi="Times New Roman" w:cs="Times New Roman"/>
          <w:sz w:val="24"/>
          <w:szCs w:val="24"/>
        </w:rPr>
        <w:t xml:space="preserve">§ 125 (2018).  The purpose of this principle is to promote stability in the law and to ensure that “similarly situated individuals are treated alike rather than in accordance with the personal views of any particular judge”.  </w:t>
      </w:r>
      <w:r w:rsidR="00925E43">
        <w:rPr>
          <w:rFonts w:ascii="Times New Roman" w:hAnsi="Times New Roman" w:cs="Times New Roman"/>
          <w:i/>
          <w:sz w:val="24"/>
          <w:szCs w:val="24"/>
        </w:rPr>
        <w:t xml:space="preserve">Id.  </w:t>
      </w:r>
      <w:r>
        <w:rPr>
          <w:rFonts w:ascii="Times New Roman" w:hAnsi="Times New Roman" w:cs="Times New Roman"/>
          <w:sz w:val="24"/>
          <w:szCs w:val="24"/>
        </w:rPr>
        <w:t xml:space="preserve">This standard was never </w:t>
      </w:r>
      <w:r w:rsidR="00925E43">
        <w:rPr>
          <w:rFonts w:ascii="Times New Roman" w:hAnsi="Times New Roman" w:cs="Times New Roman"/>
          <w:sz w:val="24"/>
          <w:szCs w:val="24"/>
        </w:rPr>
        <w:t xml:space="preserve">more </w:t>
      </w:r>
      <w:r>
        <w:rPr>
          <w:rFonts w:ascii="Times New Roman" w:hAnsi="Times New Roman" w:cs="Times New Roman"/>
          <w:sz w:val="24"/>
          <w:szCs w:val="24"/>
        </w:rPr>
        <w:t xml:space="preserve">evident than in the South Dakota Supreme Court’s closing line, which stated “[w]e are </w:t>
      </w:r>
      <w:r>
        <w:rPr>
          <w:rFonts w:ascii="Times New Roman" w:hAnsi="Times New Roman" w:cs="Times New Roman"/>
          <w:sz w:val="24"/>
          <w:szCs w:val="24"/>
        </w:rPr>
        <w:lastRenderedPageBreak/>
        <w:t xml:space="preserve">mindful of the Supreme Court’s directive to follow its precedent when it has direct application in a case and to leave to that Court the prerogative of overruling its own decisions”.  </w:t>
      </w:r>
      <w:r>
        <w:rPr>
          <w:rFonts w:ascii="Times New Roman" w:hAnsi="Times New Roman" w:cs="Times New Roman"/>
          <w:i/>
          <w:sz w:val="24"/>
          <w:szCs w:val="24"/>
        </w:rPr>
        <w:t xml:space="preserve">Wayfair, </w:t>
      </w:r>
      <w:r>
        <w:rPr>
          <w:rFonts w:ascii="Times New Roman" w:hAnsi="Times New Roman" w:cs="Times New Roman"/>
          <w:sz w:val="24"/>
          <w:szCs w:val="24"/>
        </w:rPr>
        <w:t>901 N.W.2d at 761.</w:t>
      </w:r>
    </w:p>
    <w:p w14:paraId="13950D32" w14:textId="77777777" w:rsidR="00925E43" w:rsidRDefault="00925E43" w:rsidP="00925E43">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Although the Court is permitted to overrule precedent, such action should be taken sparingly and only “where there has been a significant change in circumstances since the adoption of the legal rule, or where there has been an error in legal analysis”.  20 Am. </w:t>
      </w:r>
      <w:proofErr w:type="spellStart"/>
      <w:r>
        <w:rPr>
          <w:rFonts w:ascii="Times New Roman" w:hAnsi="Times New Roman" w:cs="Times New Roman"/>
          <w:sz w:val="24"/>
          <w:szCs w:val="24"/>
        </w:rPr>
        <w:t>Jur</w:t>
      </w:r>
      <w:proofErr w:type="spellEnd"/>
      <w:r>
        <w:rPr>
          <w:rFonts w:ascii="Times New Roman" w:hAnsi="Times New Roman" w:cs="Times New Roman"/>
          <w:sz w:val="24"/>
          <w:szCs w:val="24"/>
        </w:rPr>
        <w:t xml:space="preserve">. 2d., </w:t>
      </w:r>
      <w:r>
        <w:rPr>
          <w:rFonts w:ascii="Times New Roman" w:hAnsi="Times New Roman" w:cs="Times New Roman"/>
          <w:i/>
          <w:sz w:val="24"/>
          <w:szCs w:val="24"/>
        </w:rPr>
        <w:t>supra</w:t>
      </w:r>
      <w:r>
        <w:rPr>
          <w:rFonts w:ascii="Times New Roman" w:hAnsi="Times New Roman" w:cs="Times New Roman"/>
          <w:sz w:val="24"/>
          <w:szCs w:val="24"/>
        </w:rPr>
        <w:t xml:space="preserve">, § 125.  This includes situations where current justices may disagree with older justices, as the Court values stability and efficiency over a constant change of legal rules depending on the current makeup of the Court.  </w:t>
      </w:r>
      <w:r>
        <w:rPr>
          <w:rFonts w:ascii="Times New Roman" w:hAnsi="Times New Roman" w:cs="Times New Roman"/>
          <w:i/>
          <w:sz w:val="24"/>
          <w:szCs w:val="24"/>
        </w:rPr>
        <w:t xml:space="preserve">Id.  </w:t>
      </w:r>
      <w:r>
        <w:rPr>
          <w:rFonts w:ascii="Times New Roman" w:hAnsi="Times New Roman" w:cs="Times New Roman"/>
          <w:sz w:val="24"/>
          <w:szCs w:val="24"/>
        </w:rPr>
        <w:t xml:space="preserve">In </w:t>
      </w:r>
      <w:r>
        <w:rPr>
          <w:rFonts w:ascii="Times New Roman" w:hAnsi="Times New Roman" w:cs="Times New Roman"/>
          <w:i/>
          <w:sz w:val="24"/>
          <w:szCs w:val="24"/>
        </w:rPr>
        <w:t xml:space="preserve">Kimble v. Marvel </w:t>
      </w:r>
      <w:proofErr w:type="spellStart"/>
      <w:r>
        <w:rPr>
          <w:rFonts w:ascii="Times New Roman" w:hAnsi="Times New Roman" w:cs="Times New Roman"/>
          <w:i/>
          <w:sz w:val="24"/>
          <w:szCs w:val="24"/>
        </w:rPr>
        <w:t>Entm’t</w:t>
      </w:r>
      <w:proofErr w:type="spellEnd"/>
      <w:r>
        <w:rPr>
          <w:rFonts w:ascii="Times New Roman" w:hAnsi="Times New Roman" w:cs="Times New Roman"/>
          <w:i/>
          <w:sz w:val="24"/>
          <w:szCs w:val="24"/>
        </w:rPr>
        <w:t xml:space="preserve">, LLC, </w:t>
      </w:r>
      <w:r>
        <w:rPr>
          <w:rFonts w:ascii="Times New Roman" w:hAnsi="Times New Roman" w:cs="Times New Roman"/>
          <w:sz w:val="24"/>
          <w:szCs w:val="24"/>
        </w:rPr>
        <w:t xml:space="preserve">135 </w:t>
      </w:r>
      <w:proofErr w:type="spellStart"/>
      <w:r>
        <w:rPr>
          <w:rFonts w:ascii="Times New Roman" w:hAnsi="Times New Roman" w:cs="Times New Roman"/>
          <w:sz w:val="24"/>
          <w:szCs w:val="24"/>
        </w:rPr>
        <w:t>S.Ct</w:t>
      </w:r>
      <w:proofErr w:type="spellEnd"/>
      <w:r>
        <w:rPr>
          <w:rFonts w:ascii="Times New Roman" w:hAnsi="Times New Roman" w:cs="Times New Roman"/>
          <w:sz w:val="24"/>
          <w:szCs w:val="24"/>
        </w:rPr>
        <w:t xml:space="preserve">. 2401, 2415 (US 2015), the Court went into a deep discussion on the value of precedent, and how the negative aspects of the case must outweigh the positive, which commonly a tough burden for a plaintiff seeking to overrule previous law to meet.  In referencing the subject matter of the case, which was whether a Spiderman patent should be extend past the previously established timelines, the Court quoted the Spiderman comics directly in stating “with great power there must also come great responsibility.  </w:t>
      </w:r>
      <w:r>
        <w:rPr>
          <w:rFonts w:ascii="Times New Roman" w:hAnsi="Times New Roman" w:cs="Times New Roman"/>
          <w:i/>
          <w:sz w:val="24"/>
          <w:szCs w:val="24"/>
        </w:rPr>
        <w:t xml:space="preserve">Id. </w:t>
      </w:r>
    </w:p>
    <w:p w14:paraId="5828035D" w14:textId="77777777" w:rsidR="00925E43" w:rsidRDefault="00925E43" w:rsidP="00925E4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1215FC93" w14:textId="77777777" w:rsidR="00393CC3" w:rsidRDefault="000C2413" w:rsidP="00925E4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all these considerations in mind, it is most likely that the Court will hold that the South Dakota law is a violation of the Dormant Commerce Clause and that the existing standard for determining whether tax is a violation of the Constitution </w:t>
      </w:r>
      <w:r w:rsidR="00393CC3">
        <w:rPr>
          <w:rFonts w:ascii="Times New Roman" w:hAnsi="Times New Roman" w:cs="Times New Roman"/>
          <w:sz w:val="24"/>
          <w:szCs w:val="24"/>
        </w:rPr>
        <w:t>should not be overruled.  To begin, it will likely be held</w:t>
      </w:r>
      <w:r>
        <w:rPr>
          <w:rFonts w:ascii="Times New Roman" w:hAnsi="Times New Roman" w:cs="Times New Roman"/>
          <w:sz w:val="24"/>
          <w:szCs w:val="24"/>
        </w:rPr>
        <w:t xml:space="preserve"> that the South Dakota law is a violation of the </w:t>
      </w:r>
      <w:r w:rsidR="00393CC3">
        <w:rPr>
          <w:rFonts w:ascii="Times New Roman" w:hAnsi="Times New Roman" w:cs="Times New Roman"/>
          <w:sz w:val="24"/>
          <w:szCs w:val="24"/>
        </w:rPr>
        <w:t xml:space="preserve">long-established test for the Dormant Commerce Clause, even though the law is not facially discriminatory.  As stated earlier in this paper, a law is discriminatory when it poses unfair burdens on out-of-state parties compared to in-state parties; and the South Dakota law avoids that standard by applying evenly </w:t>
      </w:r>
      <w:r w:rsidR="00393CC3">
        <w:rPr>
          <w:rFonts w:ascii="Times New Roman" w:hAnsi="Times New Roman" w:cs="Times New Roman"/>
          <w:sz w:val="24"/>
          <w:szCs w:val="24"/>
        </w:rPr>
        <w:lastRenderedPageBreak/>
        <w:t xml:space="preserve">to all parties who transact business within the State.   S.D. Codified Laws § 10-45-27.3; </w:t>
      </w:r>
      <w:proofErr w:type="spellStart"/>
      <w:r w:rsidR="00393CC3">
        <w:rPr>
          <w:rFonts w:ascii="Times New Roman" w:hAnsi="Times New Roman" w:cs="Times New Roman"/>
          <w:sz w:val="24"/>
          <w:szCs w:val="24"/>
        </w:rPr>
        <w:t>Hames</w:t>
      </w:r>
      <w:proofErr w:type="spellEnd"/>
      <w:r w:rsidR="00393CC3">
        <w:rPr>
          <w:rFonts w:ascii="Times New Roman" w:hAnsi="Times New Roman" w:cs="Times New Roman"/>
          <w:sz w:val="24"/>
          <w:szCs w:val="24"/>
        </w:rPr>
        <w:t xml:space="preserve"> &amp; </w:t>
      </w:r>
      <w:proofErr w:type="spellStart"/>
      <w:r w:rsidR="00393CC3">
        <w:rPr>
          <w:rFonts w:ascii="Times New Roman" w:hAnsi="Times New Roman" w:cs="Times New Roman"/>
          <w:sz w:val="24"/>
          <w:szCs w:val="24"/>
        </w:rPr>
        <w:t>Ekern</w:t>
      </w:r>
      <w:proofErr w:type="spellEnd"/>
      <w:r w:rsidR="00393CC3">
        <w:rPr>
          <w:rFonts w:ascii="Times New Roman" w:hAnsi="Times New Roman" w:cs="Times New Roman"/>
          <w:sz w:val="24"/>
          <w:szCs w:val="24"/>
        </w:rPr>
        <w:t xml:space="preserve">, </w:t>
      </w:r>
      <w:r w:rsidR="00393CC3">
        <w:rPr>
          <w:rFonts w:ascii="Times New Roman" w:hAnsi="Times New Roman" w:cs="Times New Roman"/>
          <w:i/>
          <w:sz w:val="24"/>
          <w:szCs w:val="24"/>
        </w:rPr>
        <w:t>supra</w:t>
      </w:r>
      <w:r w:rsidR="00393CC3">
        <w:rPr>
          <w:rFonts w:ascii="Times New Roman" w:hAnsi="Times New Roman" w:cs="Times New Roman"/>
          <w:sz w:val="24"/>
          <w:szCs w:val="24"/>
        </w:rPr>
        <w:t xml:space="preserve">, at 147.  This law is most similar to the law in </w:t>
      </w:r>
      <w:r w:rsidR="00393CC3">
        <w:rPr>
          <w:rFonts w:ascii="Times New Roman" w:hAnsi="Times New Roman" w:cs="Times New Roman"/>
          <w:i/>
          <w:sz w:val="24"/>
          <w:szCs w:val="24"/>
        </w:rPr>
        <w:t xml:space="preserve">Cloverleaf Creamery, Inc., </w:t>
      </w:r>
      <w:r w:rsidR="00393CC3">
        <w:rPr>
          <w:rFonts w:ascii="Times New Roman" w:hAnsi="Times New Roman" w:cs="Times New Roman"/>
          <w:sz w:val="24"/>
          <w:szCs w:val="24"/>
        </w:rPr>
        <w:t>449 U.S. at 460</w:t>
      </w:r>
      <w:r w:rsidR="00393CC3">
        <w:rPr>
          <w:rFonts w:ascii="Times New Roman" w:hAnsi="Times New Roman" w:cs="Times New Roman"/>
          <w:i/>
          <w:sz w:val="24"/>
          <w:szCs w:val="24"/>
        </w:rPr>
        <w:t xml:space="preserve">, </w:t>
      </w:r>
      <w:r w:rsidR="00393CC3">
        <w:rPr>
          <w:rFonts w:ascii="Times New Roman" w:hAnsi="Times New Roman" w:cs="Times New Roman"/>
          <w:sz w:val="24"/>
          <w:szCs w:val="24"/>
        </w:rPr>
        <w:t xml:space="preserve">which required that all milk containers be plastic instead of paper, as the South Dakota law does not punish out-of-state retailers, but only holds them to the same standard that in-state retailers are held to with State taxes.  Additionally, South Dakota has a compelling reason to institute this tax, since South Dakota is losing out on tax revenue with the advent of internet commerce.  </w:t>
      </w:r>
      <w:r w:rsidR="00393CC3">
        <w:rPr>
          <w:rFonts w:ascii="Times New Roman" w:hAnsi="Times New Roman" w:cs="Times New Roman"/>
          <w:i/>
          <w:sz w:val="24"/>
          <w:szCs w:val="24"/>
        </w:rPr>
        <w:t xml:space="preserve">Wayfair, </w:t>
      </w:r>
      <w:r w:rsidR="00393CC3">
        <w:rPr>
          <w:rFonts w:ascii="Times New Roman" w:hAnsi="Times New Roman" w:cs="Times New Roman"/>
          <w:sz w:val="24"/>
          <w:szCs w:val="24"/>
        </w:rPr>
        <w:t>901 N.W.2d at 758.</w:t>
      </w:r>
    </w:p>
    <w:p w14:paraId="70875B8E" w14:textId="77777777" w:rsidR="005E5376" w:rsidRDefault="005E5376" w:rsidP="00925E4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South Dakota will have a more difficult time with the undue burden standard, as requiring all internet retailers to calculate South Dakota taxes will pose a significant difficulty to internet businesses who operate with an automated billing system that does not incorporate taxes.  As it stands, no retailer is required to remit sales taxes for States they do not operate in; however, should the South Dakota law stand, individual businesses will be required to re-calculate their shipping and bill inventory to comply with South Dakota’s specific requirements.  This is similar to the law in </w:t>
      </w:r>
      <w:r>
        <w:rPr>
          <w:rFonts w:ascii="Times New Roman" w:hAnsi="Times New Roman" w:cs="Times New Roman"/>
          <w:i/>
          <w:sz w:val="24"/>
          <w:szCs w:val="24"/>
        </w:rPr>
        <w:t>South Pacific Co.</w:t>
      </w:r>
      <w:r>
        <w:rPr>
          <w:rFonts w:ascii="Times New Roman" w:hAnsi="Times New Roman" w:cs="Times New Roman"/>
          <w:sz w:val="24"/>
          <w:szCs w:val="24"/>
        </w:rPr>
        <w:t xml:space="preserve">, 325 U.S. at 761, where the Arizona railroad car requirement set a minimum standard that not only affected out-of-state traffic, but also curbed traffic within the State, as the South Dakota law will likely lead retailers to avoid selling in South Dakota to skirt the reporting tax requirements.  Without a clear and uniform billing system which automatically calculates sales tax through each purchase, it is likely that sellers themselves will have to foot the bill for the sales taxes at the end of the year, which will create an undue burden on the national economy that outweighs the benefit to South Dakota.  This need for a uniform billing system harkens to the balances arguments about federalism in </w:t>
      </w:r>
      <w:r>
        <w:rPr>
          <w:rFonts w:ascii="Times New Roman" w:hAnsi="Times New Roman" w:cs="Times New Roman"/>
          <w:i/>
          <w:sz w:val="24"/>
          <w:szCs w:val="24"/>
        </w:rPr>
        <w:t xml:space="preserve">South Pacific, Co, </w:t>
      </w:r>
      <w:r>
        <w:rPr>
          <w:rFonts w:ascii="Times New Roman" w:hAnsi="Times New Roman" w:cs="Times New Roman"/>
          <w:sz w:val="24"/>
          <w:szCs w:val="24"/>
        </w:rPr>
        <w:t xml:space="preserve">where the Court argued that widespread changes to economic resources are an issue for Congress to decide, and not the individual States.  </w:t>
      </w:r>
      <w:r>
        <w:rPr>
          <w:rFonts w:ascii="Times New Roman" w:hAnsi="Times New Roman" w:cs="Times New Roman"/>
          <w:i/>
          <w:sz w:val="24"/>
          <w:szCs w:val="24"/>
        </w:rPr>
        <w:t xml:space="preserve">Id. </w:t>
      </w:r>
      <w:r>
        <w:rPr>
          <w:rFonts w:ascii="Times New Roman" w:hAnsi="Times New Roman" w:cs="Times New Roman"/>
          <w:sz w:val="24"/>
          <w:szCs w:val="24"/>
        </w:rPr>
        <w:t>at 769.</w:t>
      </w:r>
    </w:p>
    <w:p w14:paraId="13D053B8" w14:textId="77777777" w:rsidR="00925E43" w:rsidRDefault="005E5376" w:rsidP="00925E4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More specifically, the South Dakota law is also an undisputed violation of the </w:t>
      </w:r>
      <w:r w:rsidR="000C2413">
        <w:rPr>
          <w:rFonts w:ascii="Times New Roman" w:hAnsi="Times New Roman" w:cs="Times New Roman"/>
          <w:sz w:val="24"/>
          <w:szCs w:val="24"/>
        </w:rPr>
        <w:t xml:space="preserve">existing standard set forth in </w:t>
      </w:r>
      <w:r w:rsidR="000C2413">
        <w:rPr>
          <w:rFonts w:ascii="Times New Roman" w:hAnsi="Times New Roman" w:cs="Times New Roman"/>
          <w:i/>
          <w:sz w:val="24"/>
          <w:szCs w:val="24"/>
        </w:rPr>
        <w:t>Quill Corp.</w:t>
      </w:r>
      <w:r>
        <w:rPr>
          <w:rFonts w:ascii="Times New Roman" w:hAnsi="Times New Roman" w:cs="Times New Roman"/>
          <w:sz w:val="24"/>
          <w:szCs w:val="24"/>
        </w:rPr>
        <w:t xml:space="preserve">  The most notable issue with the South Dakota law is that t</w:t>
      </w:r>
      <w:r w:rsidR="000C2413">
        <w:rPr>
          <w:rFonts w:ascii="Times New Roman" w:hAnsi="Times New Roman" w:cs="Times New Roman"/>
          <w:sz w:val="24"/>
          <w:szCs w:val="24"/>
        </w:rPr>
        <w:t xml:space="preserve">he law does not require any substantial nexus with the State, and instead institutes a broad classification of applicable retailers that ignores all of the individual nuance of the </w:t>
      </w:r>
      <w:r w:rsidR="000C2413">
        <w:rPr>
          <w:rFonts w:ascii="Times New Roman" w:hAnsi="Times New Roman" w:cs="Times New Roman"/>
          <w:i/>
          <w:sz w:val="24"/>
          <w:szCs w:val="24"/>
        </w:rPr>
        <w:t xml:space="preserve">Quill Corp. </w:t>
      </w:r>
      <w:r w:rsidR="000C2413">
        <w:rPr>
          <w:rFonts w:ascii="Times New Roman" w:hAnsi="Times New Roman" w:cs="Times New Roman"/>
          <w:sz w:val="24"/>
          <w:szCs w:val="24"/>
        </w:rPr>
        <w:t xml:space="preserve">standard.  S.D. Codified Laws § 10-45-27.3.  </w:t>
      </w:r>
      <w:r>
        <w:rPr>
          <w:rFonts w:ascii="Times New Roman" w:hAnsi="Times New Roman" w:cs="Times New Roman"/>
          <w:sz w:val="24"/>
          <w:szCs w:val="24"/>
        </w:rPr>
        <w:t xml:space="preserve">This element of the law distinguishes cases that have found a substantial nexus with internet retailers, like </w:t>
      </w:r>
      <w:r>
        <w:rPr>
          <w:rFonts w:ascii="Times New Roman" w:hAnsi="Times New Roman" w:cs="Times New Roman"/>
          <w:i/>
          <w:sz w:val="24"/>
          <w:szCs w:val="24"/>
        </w:rPr>
        <w:t xml:space="preserve">Borders Online, LLC, </w:t>
      </w:r>
      <w:r>
        <w:rPr>
          <w:rFonts w:ascii="Times New Roman" w:hAnsi="Times New Roman" w:cs="Times New Roman"/>
          <w:sz w:val="24"/>
          <w:szCs w:val="24"/>
        </w:rPr>
        <w:t xml:space="preserve">29 Cal. </w:t>
      </w:r>
      <w:proofErr w:type="spellStart"/>
      <w:r>
        <w:rPr>
          <w:rFonts w:ascii="Times New Roman" w:hAnsi="Times New Roman" w:cs="Times New Roman"/>
          <w:sz w:val="24"/>
          <w:szCs w:val="24"/>
        </w:rPr>
        <w:t>Rptr</w:t>
      </w:r>
      <w:proofErr w:type="spellEnd"/>
      <w:r>
        <w:rPr>
          <w:rFonts w:ascii="Times New Roman" w:hAnsi="Times New Roman" w:cs="Times New Roman"/>
          <w:sz w:val="24"/>
          <w:szCs w:val="24"/>
        </w:rPr>
        <w:t xml:space="preserve">. 3d 176 and </w:t>
      </w:r>
      <w:r w:rsidR="00AA7350">
        <w:rPr>
          <w:rFonts w:ascii="Times New Roman" w:hAnsi="Times New Roman" w:cs="Times New Roman"/>
          <w:i/>
          <w:sz w:val="24"/>
          <w:szCs w:val="24"/>
        </w:rPr>
        <w:t xml:space="preserve">Dell Intern, </w:t>
      </w:r>
      <w:r w:rsidR="00AA7350">
        <w:rPr>
          <w:rFonts w:ascii="Times New Roman" w:hAnsi="Times New Roman" w:cs="Times New Roman"/>
          <w:sz w:val="24"/>
          <w:szCs w:val="24"/>
        </w:rPr>
        <w:t xml:space="preserve">922 So. 2d 1257, because where those States took nuances approaches to tie individual businesses to the State for taxation, this law casts a wide net that ignores any individual connection between the retailers and South Dakota.  </w:t>
      </w:r>
      <w:r w:rsidR="000C2413">
        <w:rPr>
          <w:rFonts w:ascii="Times New Roman" w:hAnsi="Times New Roman" w:cs="Times New Roman"/>
          <w:sz w:val="24"/>
          <w:szCs w:val="24"/>
        </w:rPr>
        <w:t xml:space="preserve">The law also fails to consider any similar tax that could be imposed by surrounding States, which in turn exposes retailers to duplicative sales taxes from both South Dakota and other States.  </w:t>
      </w:r>
    </w:p>
    <w:p w14:paraId="3A287A82" w14:textId="77777777" w:rsidR="00AA7350" w:rsidRDefault="000C2413" w:rsidP="00925E43">
      <w:pPr>
        <w:spacing w:line="480" w:lineRule="auto"/>
        <w:rPr>
          <w:rFonts w:ascii="Times New Roman" w:hAnsi="Times New Roman" w:cs="Times New Roman"/>
          <w:sz w:val="24"/>
          <w:szCs w:val="24"/>
        </w:rPr>
      </w:pPr>
      <w:r>
        <w:rPr>
          <w:rFonts w:ascii="Times New Roman" w:hAnsi="Times New Roman" w:cs="Times New Roman"/>
          <w:sz w:val="24"/>
          <w:szCs w:val="24"/>
        </w:rPr>
        <w:tab/>
      </w:r>
      <w:r w:rsidR="00AA7350">
        <w:rPr>
          <w:rFonts w:ascii="Times New Roman" w:hAnsi="Times New Roman" w:cs="Times New Roman"/>
          <w:sz w:val="24"/>
          <w:szCs w:val="24"/>
        </w:rPr>
        <w:t xml:space="preserve">The only argument in favor of South Dakota would be the change in the economy to an internet based system that does not require a physical location; however, it is unlikely that the Court will take the drastic action of overruling precedent due to the seriousness of that action and the limited stakes at issue in this case.  Although South Dakota brings up a compelling argument in favor of changing the standard, it is not such an emergency situation for States that the Court needs to amend decade’s worth of precedent because of the current marketplace.  It is worth noting that this standard existed since 1977, and States were able to fund the government through taxes through mail order changes and other developments in the market.  Although State’s are experiencing difficulty garnering sales taxes, there are other ways that States can derive revenue without having to change the existing system in such drastic measures.  Additionally, any change to this system should come from Congress, and not from the Supreme Court, as the Supreme Court’s standard existed long enough that changing it now would disrupt the existing </w:t>
      </w:r>
      <w:r w:rsidR="00AA7350">
        <w:rPr>
          <w:rFonts w:ascii="Times New Roman" w:hAnsi="Times New Roman" w:cs="Times New Roman"/>
          <w:sz w:val="24"/>
          <w:szCs w:val="24"/>
        </w:rPr>
        <w:lastRenderedPageBreak/>
        <w:t>commercial practices of businesses across the Country.  There may be some members of the Court which rule in favor of overruling precedent, but due to the extreme nature of that remedy, it is unlikely to obtain the necessary majority to change the law.</w:t>
      </w:r>
    </w:p>
    <w:p w14:paraId="3DF09DB3" w14:textId="77777777" w:rsidR="00AA7350" w:rsidRPr="00AA7350" w:rsidRDefault="00AA7350" w:rsidP="00925E4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w:t>
      </w:r>
      <w:r>
        <w:rPr>
          <w:rFonts w:ascii="Times New Roman" w:hAnsi="Times New Roman" w:cs="Times New Roman"/>
          <w:i/>
          <w:sz w:val="24"/>
          <w:szCs w:val="24"/>
        </w:rPr>
        <w:t>Wayfair</w:t>
      </w:r>
      <w:r>
        <w:rPr>
          <w:rFonts w:ascii="Times New Roman" w:hAnsi="Times New Roman" w:cs="Times New Roman"/>
          <w:sz w:val="24"/>
          <w:szCs w:val="24"/>
        </w:rPr>
        <w:t xml:space="preserve"> presents an interesting dichotomy between Constitutional law and the role of the Court in shaping the economy.  South Dakota presents an interesting problem that many States must deal with in deriving taxes; however, the remedy the State has requested is too drastic for this Court to take the requested action at this time.  For t</w:t>
      </w:r>
      <w:r w:rsidR="00EA6806">
        <w:rPr>
          <w:rFonts w:ascii="Times New Roman" w:hAnsi="Times New Roman" w:cs="Times New Roman"/>
          <w:sz w:val="24"/>
          <w:szCs w:val="24"/>
        </w:rPr>
        <w:t>hose reasons, the South Dakota law will be declared unconstitutional and the existing standard for the Dormant Commerce Clause will not be overruled.</w:t>
      </w:r>
    </w:p>
    <w:p w14:paraId="52DEB903" w14:textId="77777777" w:rsidR="00925E43" w:rsidRPr="00925E43" w:rsidRDefault="00925E43" w:rsidP="00925E43">
      <w:pPr>
        <w:spacing w:line="480" w:lineRule="auto"/>
        <w:ind w:firstLine="720"/>
        <w:rPr>
          <w:rFonts w:ascii="Times New Roman" w:hAnsi="Times New Roman" w:cs="Times New Roman"/>
          <w:sz w:val="24"/>
          <w:szCs w:val="24"/>
        </w:rPr>
      </w:pPr>
    </w:p>
    <w:p w14:paraId="456C91E3" w14:textId="77777777" w:rsidR="00E16707" w:rsidRPr="00E16707" w:rsidRDefault="00E16707" w:rsidP="001F276D">
      <w:pPr>
        <w:spacing w:line="480" w:lineRule="auto"/>
        <w:ind w:firstLine="720"/>
        <w:rPr>
          <w:rFonts w:ascii="Times New Roman" w:hAnsi="Times New Roman" w:cs="Times New Roman"/>
          <w:sz w:val="24"/>
          <w:szCs w:val="24"/>
        </w:rPr>
      </w:pPr>
    </w:p>
    <w:p w14:paraId="71259D95" w14:textId="77777777" w:rsidR="009D38A5" w:rsidRPr="009D38A5" w:rsidRDefault="009D38A5" w:rsidP="00670B3B">
      <w:pPr>
        <w:spacing w:line="480" w:lineRule="auto"/>
        <w:rPr>
          <w:rFonts w:ascii="Times New Roman" w:hAnsi="Times New Roman" w:cs="Times New Roman"/>
          <w:sz w:val="24"/>
          <w:szCs w:val="24"/>
        </w:rPr>
      </w:pPr>
    </w:p>
    <w:sectPr w:rsidR="009D38A5" w:rsidRPr="009D3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A1"/>
    <w:rsid w:val="000B714F"/>
    <w:rsid w:val="000C2413"/>
    <w:rsid w:val="001F276D"/>
    <w:rsid w:val="00340DB6"/>
    <w:rsid w:val="003609AD"/>
    <w:rsid w:val="00393CC3"/>
    <w:rsid w:val="00400DBD"/>
    <w:rsid w:val="0043318A"/>
    <w:rsid w:val="004A302D"/>
    <w:rsid w:val="004B5631"/>
    <w:rsid w:val="00523AF6"/>
    <w:rsid w:val="005E5376"/>
    <w:rsid w:val="00617ED0"/>
    <w:rsid w:val="00670B3B"/>
    <w:rsid w:val="007004AD"/>
    <w:rsid w:val="008B0054"/>
    <w:rsid w:val="008B4AEB"/>
    <w:rsid w:val="008F6B44"/>
    <w:rsid w:val="009135E8"/>
    <w:rsid w:val="00925E43"/>
    <w:rsid w:val="009C7618"/>
    <w:rsid w:val="009D38A5"/>
    <w:rsid w:val="009F1920"/>
    <w:rsid w:val="00A47EA1"/>
    <w:rsid w:val="00AA7350"/>
    <w:rsid w:val="00AD2A82"/>
    <w:rsid w:val="00AE1805"/>
    <w:rsid w:val="00B83C39"/>
    <w:rsid w:val="00B85872"/>
    <w:rsid w:val="00CA1D65"/>
    <w:rsid w:val="00CC092C"/>
    <w:rsid w:val="00CC22FA"/>
    <w:rsid w:val="00D0233D"/>
    <w:rsid w:val="00D83234"/>
    <w:rsid w:val="00DF2273"/>
    <w:rsid w:val="00E16707"/>
    <w:rsid w:val="00EA6806"/>
    <w:rsid w:val="00F0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8558"/>
  <w15:chartTrackingRefBased/>
  <w15:docId w15:val="{CA0ABAC7-0C01-48B7-8CD1-31FFB339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4933</Words>
  <Characters>28119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Bendistis</dc:creator>
  <cp:keywords/>
  <dc:description/>
  <cp:lastModifiedBy>Hp</cp:lastModifiedBy>
  <cp:revision>2</cp:revision>
  <dcterms:created xsi:type="dcterms:W3CDTF">2018-03-29T06:22:00Z</dcterms:created>
  <dcterms:modified xsi:type="dcterms:W3CDTF">2018-03-29T06:22:00Z</dcterms:modified>
</cp:coreProperties>
</file>