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Som Tawisook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Professor Jay Scott Templin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PSYCH306: Behavioral Neuroscience</w:t>
      </w:r>
    </w:p>
    <w:p>
      <w:pPr>
        <w:pStyle w:val="Body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</w:rPr>
        <w:fldChar w:fldCharType="begin" w:fldLock="0"/>
      </w:r>
      <w:r>
        <w:rPr>
          <w:rFonts w:ascii="Times New Roman" w:cs="Times New Roman" w:hAnsi="Times New Roman" w:eastAsia="Times New Roman"/>
        </w:rPr>
        <w:instrText xml:space="preserve"> DATE \@ "MMMM d, y" </w:instrText>
      </w:r>
      <w:r>
        <w:rPr>
          <w:rFonts w:ascii="Times New Roman" w:cs="Times New Roman" w:hAnsi="Times New Roman" w:eastAsia="Times New Roman"/>
        </w:rPr>
        <w:fldChar w:fldCharType="separate" w:fldLock="0"/>
      </w:r>
      <w:r>
        <w:rPr>
          <w:rFonts w:ascii="Times New Roman" w:hAnsi="Times New Roman"/>
          <w:rtl w:val="0"/>
          <w:lang w:val="en-US"/>
        </w:rPr>
        <w:t>March 10, 2016</w:t>
      </w:r>
      <w:r>
        <w:rPr>
          <w:rFonts w:ascii="Times New Roman" w:cs="Times New Roman" w:hAnsi="Times New Roman" w:eastAsia="Times New Roman"/>
        </w:rPr>
        <w:fldChar w:fldCharType="end" w:fldLock="1"/>
      </w:r>
    </w:p>
    <w:p>
      <w:pPr>
        <w:pStyle w:val="Title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Alzheimer</w:t>
      </w:r>
      <w:r>
        <w:rPr>
          <w:rFonts w:ascii="Times New Roman" w:hAnsi="Times New Roman" w:hint="default"/>
          <w:rtl w:val="0"/>
          <w:lang w:val="en-US"/>
        </w:rPr>
        <w:t>’</w:t>
      </w:r>
      <w:r>
        <w:rPr>
          <w:rFonts w:ascii="Times New Roman" w:hAnsi="Times New Roman"/>
          <w:rtl w:val="0"/>
          <w:lang w:val="en-US"/>
        </w:rPr>
        <w:t>s Disease</w:t>
      </w:r>
    </w:p>
    <w:p>
      <w:pPr>
        <w:pStyle w:val="Body 2"/>
        <w:jc w:val="both"/>
        <w:rPr>
          <w:rFonts w:ascii="Times New Roman" w:cs="Times New Roman" w:hAnsi="Times New Roman" w:eastAsia="Times New Roman"/>
        </w:rPr>
      </w:pPr>
    </w:p>
    <w:p>
      <w:pPr>
        <w:pStyle w:val="Quote"/>
        <w:jc w:val="both"/>
        <w:rPr>
          <w:rFonts w:ascii="Times New Roman" w:cs="Times New Roman" w:hAnsi="Times New Roman" w:eastAsia="Times New Roman"/>
        </w:rPr>
      </w:pPr>
    </w:p>
    <w:p>
      <w:pPr>
        <w:pStyle w:val="Body 2"/>
        <w:jc w:val="both"/>
        <w:rPr>
          <w:rFonts w:ascii="Times New Roman" w:cs="Times New Roman" w:hAnsi="Times New Roman" w:eastAsia="Times New Roman"/>
        </w:rPr>
      </w:pPr>
    </w:p>
    <w:p>
      <w:pPr>
        <w:pStyle w:val="Body 2"/>
        <w:jc w:val="both"/>
        <w:rPr>
          <w:rFonts w:ascii="Times New Roman" w:cs="Times New Roman" w:hAnsi="Times New Roman" w:eastAsia="Times New Roman"/>
        </w:rPr>
      </w:pPr>
    </w:p>
    <w:p>
      <w:pPr>
        <w:pStyle w:val="Body 2"/>
        <w:rPr>
          <w:rFonts w:ascii="Times New Roman" w:cs="Times New Roman" w:hAnsi="Times New Roman" w:eastAsia="Times New Roman"/>
        </w:rPr>
      </w:pPr>
    </w:p>
    <w:p>
      <w:pPr>
        <w:pStyle w:val="Body 2"/>
        <w:tabs>
          <w:tab w:val="left" w:pos="9360"/>
        </w:tabs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Works Cited</w:t>
      </w:r>
    </w:p>
    <w:p>
      <w:pPr>
        <w:pStyle w:val="Body 2"/>
        <w:tabs>
          <w:tab w:val="left" w:pos="9360"/>
        </w:tabs>
        <w:spacing w:line="288" w:lineRule="auto"/>
        <w:ind w:left="1440" w:hanging="144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en-US"/>
        </w:rPr>
        <w:t>Dao, A. T., Zagaar, M. A., &amp; Alkadhi, K. A. (2015). Moderate treadmill exercise protects synaptic plasticity of the dentate gyrus and related signaling cascade in a rat model of Alzheimer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en-US"/>
        </w:rPr>
        <w:t>s disease. Molecular Neurobiology, 52(3), 1067-1076. doi:10.1007/s12035-014-8916-1</w:t>
      </w:r>
    </w:p>
    <w:p>
      <w:pPr>
        <w:pStyle w:val="Body 2"/>
        <w:tabs>
          <w:tab w:val="left" w:pos="9360"/>
        </w:tabs>
        <w:spacing w:line="288" w:lineRule="auto"/>
        <w:ind w:left="1440" w:hanging="1440"/>
        <w:jc w:val="both"/>
        <w:rPr>
          <w:rFonts w:ascii="Times New Roman" w:cs="Times New Roman" w:hAnsi="Times New Roman" w:eastAsia="Times New Roman"/>
        </w:rPr>
      </w:pPr>
    </w:p>
    <w:p>
      <w:pPr>
        <w:pStyle w:val="Body 2"/>
        <w:tabs>
          <w:tab w:val="left" w:pos="9360"/>
        </w:tabs>
        <w:spacing w:line="288" w:lineRule="auto"/>
        <w:ind w:left="1440" w:hanging="1440"/>
        <w:jc w:val="both"/>
      </w:pPr>
      <w:r>
        <w:rPr>
          <w:rFonts w:ascii="Times New Roman" w:hAnsi="Times New Roman"/>
          <w:rtl w:val="0"/>
          <w:lang w:val="en-US"/>
        </w:rPr>
        <w:t>Zakaria, A., Hamdi, N., &amp; Abdel-Kader, R. M. (2016). Methylene blue improves brain mitochondrial ABAD functions and decreases A</w:t>
      </w:r>
      <w:r>
        <w:rPr>
          <w:rFonts w:ascii="Times New Roman" w:hAnsi="Times New Roman" w:hint="default"/>
          <w:rtl w:val="0"/>
        </w:rPr>
        <w:t xml:space="preserve">β </w:t>
      </w:r>
      <w:r>
        <w:rPr>
          <w:rFonts w:ascii="Times New Roman" w:hAnsi="Times New Roman"/>
          <w:rtl w:val="0"/>
          <w:lang w:val="en-US"/>
        </w:rPr>
        <w:t>in a neuroinflammatory Alzheimer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en-US"/>
        </w:rPr>
        <w:t>s disease mouse model. Molecular Neurobiology, 53(2), 1220-1228. doi:10.1007/s12035-014-9088-8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Fonts w:ascii="Times New Roman" w:hAnsi="Times New Roman"/>
        <w:rtl w:val="0"/>
        <w:lang w:val="en-US"/>
      </w:rPr>
      <w:t>Synthesis Paper</w:t>
    </w:r>
    <w:r>
      <w:rPr>
        <w:rFonts w:ascii="Times New Roman" w:cs="Times New Roman" w:hAnsi="Times New Roman" w:eastAsia="Times New Roman"/>
      </w:rPr>
      <w:tab/>
      <w:tab/>
    </w:r>
    <w:r>
      <w:rPr>
        <w:rFonts w:ascii="Times New Roman" w:hAnsi="Times New Roman"/>
        <w:rtl w:val="0"/>
        <w:lang w:val="en-US"/>
      </w:rPr>
      <w:t>Tawisook</w:t>
    </w:r>
    <w:r>
      <w:rPr>
        <w:rFonts w:ascii="Times New Roman" w:hAnsi="Times New Roman"/>
        <w:rtl w:val="0"/>
      </w:rPr>
      <w:t xml:space="preserve"> </w:t>
    </w:r>
    <w:r>
      <w:rPr>
        <w:rFonts w:ascii="Times New Roman" w:cs="Times New Roman" w:hAnsi="Times New Roman" w:eastAsia="Times New Roman"/>
      </w:rPr>
      <w:fldChar w:fldCharType="begin" w:fldLock="0"/>
    </w:r>
    <w:r>
      <w:rPr>
        <w:rFonts w:ascii="Times New Roman" w:cs="Times New Roman" w:hAnsi="Times New Roman" w:eastAsia="Times New Roman"/>
      </w:rPr>
      <w:instrText xml:space="preserve"> PAGE </w:instrText>
    </w:r>
    <w:r>
      <w:rPr>
        <w:rFonts w:ascii="Times New Roman" w:cs="Times New Roman" w:hAnsi="Times New Roman" w:eastAsia="Times New Roman"/>
      </w:rPr>
      <w:fldChar w:fldCharType="separate" w:fldLock="0"/>
    </w:r>
    <w:r>
      <w:rPr>
        <w:rFonts w:ascii="Times New Roman" w:cs="Times New Roman" w:hAnsi="Times New Roman" w:eastAsia="Times New Roman"/>
      </w:rPr>
      <w:t>1</w:t>
    </w:r>
    <w:r>
      <w:rPr>
        <w:rFonts w:ascii="Times New Roman" w:cs="Times New Roman" w:hAnsi="Times New Roman" w:eastAsia="Times New Roman"/>
      </w:rPr>
      <w:fldChar w:fldCharType="end" w:fldLock="0"/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48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Title">
    <w:name w:val="Title"/>
    <w:next w:val="Body 2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480" w:lineRule="auto"/>
      <w:ind w:left="0" w:right="0" w:firstLine="0"/>
      <w:jc w:val="center"/>
      <w:outlineLvl w:val="0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 2">
    <w:name w:val="Body 2"/>
    <w:next w:val="Body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480" w:lineRule="auto"/>
      <w:ind w:left="0" w:right="0" w:firstLine="72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Quote">
    <w:name w:val="Quote"/>
    <w:next w:val="Quot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480" w:lineRule="auto"/>
      <w:ind w:left="144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00_ResearchPaper">
  <a:themeElements>
    <a:clrScheme name="00_ResearchPaper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00_ResearchPaper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00_ResearchPap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