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D7" w:rsidRPr="007D2A33" w:rsidRDefault="009420D7" w:rsidP="007D2A33"/>
    <w:p w:rsidR="009420D7" w:rsidRPr="007D2A33" w:rsidRDefault="009420D7" w:rsidP="007D2A33"/>
    <w:p w:rsidR="009420D7" w:rsidRPr="007D2A33" w:rsidRDefault="009420D7" w:rsidP="000D53FA"/>
    <w:p w:rsidR="009420D7" w:rsidRPr="007D2A33" w:rsidRDefault="009420D7" w:rsidP="007D2A33"/>
    <w:p w:rsidR="007D2A33" w:rsidRPr="007D2A33" w:rsidRDefault="007D2A33" w:rsidP="007D2A33"/>
    <w:p w:rsidR="009420D7" w:rsidRDefault="009420D7" w:rsidP="007D2A33"/>
    <w:p w:rsidR="007D2A33" w:rsidRDefault="007D2A33" w:rsidP="007D2A33"/>
    <w:p w:rsidR="007D2A33" w:rsidRDefault="007D2A33" w:rsidP="007D2A33"/>
    <w:p w:rsidR="007D2A33" w:rsidRDefault="007D2A33" w:rsidP="007D2A33"/>
    <w:p w:rsidR="007D2A33" w:rsidRDefault="007D2A33" w:rsidP="007D2A33"/>
    <w:p w:rsidR="007D2A33" w:rsidRPr="007D2A33" w:rsidRDefault="007D2A33" w:rsidP="007D2A33"/>
    <w:p w:rsidR="008807B8" w:rsidRPr="008807B8" w:rsidRDefault="008807B8" w:rsidP="008807B8">
      <w:pPr>
        <w:shd w:val="clear" w:color="auto" w:fill="FFFFFF"/>
        <w:spacing w:after="0"/>
        <w:jc w:val="center"/>
        <w:outlineLvl w:val="0"/>
        <w:rPr>
          <w:rFonts w:eastAsia="Times New Roman" w:cs="Times New Roman"/>
          <w:kern w:val="36"/>
          <w:szCs w:val="24"/>
        </w:rPr>
      </w:pPr>
    </w:p>
    <w:p w:rsidR="008807B8" w:rsidRPr="008807B8" w:rsidRDefault="008807B8" w:rsidP="008807B8">
      <w:pPr>
        <w:shd w:val="clear" w:color="auto" w:fill="FFFFFF"/>
        <w:spacing w:after="0"/>
        <w:jc w:val="center"/>
        <w:outlineLvl w:val="0"/>
        <w:rPr>
          <w:rFonts w:eastAsia="Times New Roman" w:cs="Times New Roman"/>
          <w:kern w:val="36"/>
          <w:szCs w:val="24"/>
        </w:rPr>
      </w:pPr>
    </w:p>
    <w:p w:rsidR="00B64367" w:rsidRPr="007D2A33" w:rsidRDefault="008807B8" w:rsidP="008807B8">
      <w:pPr>
        <w:shd w:val="clear" w:color="auto" w:fill="FFFFFF"/>
        <w:spacing w:after="0"/>
        <w:jc w:val="center"/>
        <w:outlineLvl w:val="0"/>
        <w:rPr>
          <w:rFonts w:eastAsia="Times New Roman" w:cs="Times New Roman"/>
          <w:kern w:val="36"/>
          <w:szCs w:val="24"/>
        </w:rPr>
      </w:pPr>
      <w:r w:rsidRPr="008807B8">
        <w:rPr>
          <w:rFonts w:eastAsia="Times New Roman" w:cs="Times New Roman"/>
          <w:kern w:val="36"/>
          <w:szCs w:val="24"/>
        </w:rPr>
        <w:t>WHY the history of civil right movement is important to study now.</w:t>
      </w:r>
    </w:p>
    <w:p w:rsidR="009420D7" w:rsidRPr="007D2A33" w:rsidRDefault="008807B8" w:rsidP="009420D7">
      <w:pPr>
        <w:shd w:val="clear" w:color="auto" w:fill="FFFFFF"/>
        <w:spacing w:after="0"/>
        <w:jc w:val="center"/>
        <w:outlineLvl w:val="0"/>
        <w:rPr>
          <w:rFonts w:eastAsia="Times New Roman" w:cs="Times New Roman"/>
          <w:kern w:val="36"/>
          <w:szCs w:val="24"/>
        </w:rPr>
      </w:pPr>
      <w:r>
        <w:rPr>
          <w:rFonts w:eastAsia="Times New Roman" w:cs="Times New Roman"/>
          <w:kern w:val="36"/>
          <w:szCs w:val="24"/>
        </w:rPr>
        <w:t xml:space="preserve">Michelle Kuffour </w:t>
      </w:r>
    </w:p>
    <w:p w:rsidR="009420D7" w:rsidRPr="007D2A33" w:rsidRDefault="00086B6A" w:rsidP="009420D7">
      <w:pPr>
        <w:shd w:val="clear" w:color="auto" w:fill="FFFFFF"/>
        <w:spacing w:after="0"/>
        <w:jc w:val="center"/>
        <w:outlineLvl w:val="0"/>
        <w:rPr>
          <w:rFonts w:eastAsia="Times New Roman" w:cs="Times New Roman"/>
          <w:kern w:val="36"/>
          <w:szCs w:val="24"/>
        </w:rPr>
      </w:pPr>
      <w:r>
        <w:rPr>
          <w:rFonts w:eastAsia="Times New Roman" w:cs="Times New Roman"/>
          <w:kern w:val="36"/>
          <w:szCs w:val="24"/>
        </w:rPr>
        <w:t>HIST 461-6980</w:t>
      </w:r>
    </w:p>
    <w:p w:rsidR="009420D7" w:rsidRPr="007D2A33" w:rsidRDefault="009420D7">
      <w:pPr>
        <w:rPr>
          <w:rFonts w:cs="Times New Roman"/>
          <w:szCs w:val="24"/>
          <w:shd w:val="clear" w:color="auto" w:fill="FFFFFF"/>
        </w:rPr>
      </w:pPr>
      <w:r w:rsidRPr="007D2A33">
        <w:rPr>
          <w:rFonts w:cs="Times New Roman"/>
          <w:szCs w:val="24"/>
          <w:shd w:val="clear" w:color="auto" w:fill="FFFFFF"/>
        </w:rPr>
        <w:br w:type="page"/>
      </w:r>
    </w:p>
    <w:p w:rsidR="007D2A33" w:rsidRDefault="007D2A33" w:rsidP="007D2A33">
      <w:pPr>
        <w:spacing w:after="0"/>
        <w:jc w:val="center"/>
        <w:rPr>
          <w:rFonts w:cs="Times New Roman"/>
          <w:szCs w:val="24"/>
          <w:shd w:val="clear" w:color="auto" w:fill="FFFFFF"/>
        </w:rPr>
      </w:pPr>
      <w:r w:rsidRPr="007D2A33">
        <w:rPr>
          <w:rFonts w:cs="Times New Roman"/>
          <w:szCs w:val="24"/>
          <w:shd w:val="clear" w:color="auto" w:fill="FFFFFF"/>
        </w:rPr>
        <w:lastRenderedPageBreak/>
        <w:t>Annotated Bibliography</w:t>
      </w:r>
    </w:p>
    <w:p w:rsid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Banks, James A. "</w:t>
      </w:r>
      <w:r w:rsidRPr="00090503">
        <w:rPr>
          <w:rFonts w:cs="Times New Roman"/>
          <w:i/>
          <w:szCs w:val="24"/>
          <w:shd w:val="clear" w:color="auto" w:fill="FFFFFF"/>
        </w:rPr>
        <w:t xml:space="preserve">Multicultural Education, Transformative Knowledge and Action: Historical and Contemporary Perspectives. Multicultural Education Series." </w:t>
      </w:r>
      <w:r w:rsidRPr="007D2A33">
        <w:rPr>
          <w:rFonts w:cs="Times New Roman"/>
          <w:szCs w:val="24"/>
          <w:shd w:val="clear" w:color="auto" w:fill="FFFFFF"/>
        </w:rPr>
        <w:t>(1996).</w:t>
      </w:r>
    </w:p>
    <w:p w:rsidR="007D2A33" w:rsidRPr="007D2A33" w:rsidRDefault="00B818FF" w:rsidP="00E85255">
      <w:pPr>
        <w:ind w:hanging="720"/>
        <w:rPr>
          <w:shd w:val="clear" w:color="auto" w:fill="FFFFFF"/>
        </w:rPr>
      </w:pPr>
      <w:r w:rsidRPr="00B818FF">
        <w:rPr>
          <w:shd w:val="clear" w:color="auto" w:fill="FFFFFF"/>
        </w:rPr>
        <w:t>Studying civil rights also involves the education on the struggle for human trouble in the past. Banks describes the history of multicultural and civil rights education. It further illustrates the U.S margins that used to be sites that the civil right movement organizers used to defend their rights and freedom. Therefore, it helps in understanding the studies regarding civil rights movement.</w:t>
      </w:r>
    </w:p>
    <w:p w:rsid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Cohen, Lizabeth. "A consumers' republic: The politics of mass consumption in postwar America." </w:t>
      </w:r>
      <w:r w:rsidRPr="007D2A33">
        <w:rPr>
          <w:rFonts w:cs="Times New Roman"/>
          <w:i/>
          <w:iCs/>
          <w:szCs w:val="24"/>
          <w:shd w:val="clear" w:color="auto" w:fill="FFFFFF"/>
        </w:rPr>
        <w:t>Journal of Consumer Research</w:t>
      </w:r>
      <w:r w:rsidRPr="007D2A33">
        <w:rPr>
          <w:rFonts w:cs="Times New Roman"/>
          <w:szCs w:val="24"/>
          <w:shd w:val="clear" w:color="auto" w:fill="FFFFFF"/>
        </w:rPr>
        <w:t> 31, no. 1 (2004): 236-239.</w:t>
      </w:r>
    </w:p>
    <w:p w:rsidR="007D2A33" w:rsidRPr="00B818FF" w:rsidRDefault="00B818FF" w:rsidP="00E85255">
      <w:pPr>
        <w:ind w:hanging="720"/>
        <w:rPr>
          <w:shd w:val="clear" w:color="auto" w:fill="FFFFFF"/>
        </w:rPr>
      </w:pPr>
      <w:r w:rsidRPr="00B818FF">
        <w:rPr>
          <w:shd w:val="clear" w:color="auto" w:fill="FFFFFF"/>
        </w:rPr>
        <w:t>Social scientists and historians are usually interested in analyzing the contemporary world through understanding the social and political impact of the civil rights movement of the 20</w:t>
      </w:r>
      <w:r w:rsidRPr="00B818FF">
        <w:rPr>
          <w:shd w:val="clear" w:color="auto" w:fill="FFFFFF"/>
          <w:vertAlign w:val="superscript"/>
        </w:rPr>
        <w:t>th</w:t>
      </w:r>
      <w:r w:rsidRPr="00B818FF">
        <w:rPr>
          <w:shd w:val="clear" w:color="auto" w:fill="FFFFFF"/>
        </w:rPr>
        <w:t xml:space="preserve"> century. Cohen provides research results that provide a summary of major events in the 20</w:t>
      </w:r>
      <w:r w:rsidRPr="00B818FF">
        <w:rPr>
          <w:shd w:val="clear" w:color="auto" w:fill="FFFFFF"/>
          <w:vertAlign w:val="superscript"/>
        </w:rPr>
        <w:t>th</w:t>
      </w:r>
      <w:r w:rsidRPr="00B818FF">
        <w:rPr>
          <w:shd w:val="clear" w:color="auto" w:fill="FFFFFF"/>
        </w:rPr>
        <w:t xml:space="preserve"> century. As such, the book facilitates the topic by giving valid data for analyzing the sociopolitical impacts of civil rights movement. </w:t>
      </w:r>
    </w:p>
    <w:p w:rsid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Frazier, E. Franklin. "The Negro in the United States." (1949).</w:t>
      </w:r>
    </w:p>
    <w:p w:rsidR="00B818FF" w:rsidRPr="00B818FF" w:rsidRDefault="00B818FF" w:rsidP="00E85255">
      <w:pPr>
        <w:ind w:hanging="720"/>
        <w:rPr>
          <w:shd w:val="clear" w:color="auto" w:fill="FFFFFF"/>
        </w:rPr>
      </w:pPr>
      <w:r w:rsidRPr="00B818FF">
        <w:rPr>
          <w:shd w:val="clear" w:color="auto" w:fill="FFFFFF"/>
        </w:rPr>
        <w:t>Frazier’s literature has given an in depth analysis and description of political, economic and social forces that enhanced the great civil rights movements. Further, the author discusses how these movements affected the educational policy, which is essential for understanding the relationship between civil rights movements and education. Therefore, it provides an explanation on importance of studying civil rights movements.</w:t>
      </w:r>
    </w:p>
    <w:p w:rsidR="007D2A33" w:rsidRPr="007D2A33" w:rsidRDefault="007D2A33" w:rsidP="00E85255">
      <w:pPr>
        <w:spacing w:after="0"/>
        <w:ind w:left="720" w:hanging="720"/>
        <w:rPr>
          <w:rFonts w:cs="Times New Roman"/>
          <w:szCs w:val="24"/>
          <w:shd w:val="clear" w:color="auto" w:fill="FFFFFF"/>
        </w:rPr>
      </w:pPr>
    </w:p>
    <w:p w:rsid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Friss, Evan. "Blacks, Jews, and Civil Rights Law in New York, 1895-1913." </w:t>
      </w:r>
      <w:r w:rsidRPr="007D2A33">
        <w:rPr>
          <w:rFonts w:cs="Times New Roman"/>
          <w:i/>
          <w:iCs/>
          <w:szCs w:val="24"/>
          <w:shd w:val="clear" w:color="auto" w:fill="FFFFFF"/>
        </w:rPr>
        <w:t>Journal of American Ethnic History</w:t>
      </w:r>
      <w:r w:rsidR="00CD798C">
        <w:rPr>
          <w:rFonts w:cs="Times New Roman"/>
          <w:i/>
          <w:iCs/>
          <w:szCs w:val="24"/>
          <w:shd w:val="clear" w:color="auto" w:fill="FFFFFF"/>
        </w:rPr>
        <w:t>”</w:t>
      </w:r>
      <w:r w:rsidRPr="007D2A33">
        <w:rPr>
          <w:rFonts w:cs="Times New Roman"/>
          <w:szCs w:val="24"/>
          <w:shd w:val="clear" w:color="auto" w:fill="FFFFFF"/>
        </w:rPr>
        <w:t> 24, no. 4 (2005): 70-99.</w:t>
      </w:r>
    </w:p>
    <w:p w:rsidR="007D2A33" w:rsidRPr="00B818FF" w:rsidRDefault="00B818FF" w:rsidP="00E85255">
      <w:pPr>
        <w:ind w:hanging="720"/>
        <w:rPr>
          <w:shd w:val="clear" w:color="auto" w:fill="FFFFFF"/>
        </w:rPr>
      </w:pPr>
      <w:r w:rsidRPr="00B818FF">
        <w:rPr>
          <w:shd w:val="clear" w:color="auto" w:fill="FFFFFF"/>
        </w:rPr>
        <w:lastRenderedPageBreak/>
        <w:t>Friss provides an elaborate discussion of the benefits of the civil rights movement to the Jews and blacks in the New York City, The authors then gives history about the formation of laws of civil rights in the history of America, which enables the understanding the laws that guides the fight for civil rights.</w:t>
      </w:r>
    </w:p>
    <w:p w:rsid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 xml:space="preserve">Gilmore, Glenda Elizabeth. </w:t>
      </w:r>
      <w:r w:rsidRPr="00491D31">
        <w:rPr>
          <w:rFonts w:cs="Times New Roman"/>
          <w:i/>
          <w:szCs w:val="24"/>
          <w:shd w:val="clear" w:color="auto" w:fill="FFFFFF"/>
        </w:rPr>
        <w:t>"Defying Dixie: The radical roots of civil rights."</w:t>
      </w:r>
      <w:r w:rsidRPr="007D2A33">
        <w:rPr>
          <w:rFonts w:cs="Times New Roman"/>
          <w:szCs w:val="24"/>
          <w:shd w:val="clear" w:color="auto" w:fill="FFFFFF"/>
        </w:rPr>
        <w:t> </w:t>
      </w:r>
      <w:r w:rsidRPr="007D2A33">
        <w:rPr>
          <w:rFonts w:cs="Times New Roman"/>
          <w:i/>
          <w:iCs/>
          <w:szCs w:val="24"/>
          <w:shd w:val="clear" w:color="auto" w:fill="FFFFFF"/>
        </w:rPr>
        <w:t>New York</w:t>
      </w:r>
      <w:r w:rsidRPr="007D2A33">
        <w:rPr>
          <w:rFonts w:cs="Times New Roman"/>
          <w:szCs w:val="24"/>
          <w:shd w:val="clear" w:color="auto" w:fill="FFFFFF"/>
        </w:rPr>
        <w:t> (2008).</w:t>
      </w:r>
    </w:p>
    <w:p w:rsidR="007D2A33" w:rsidRPr="00B818FF" w:rsidRDefault="00B818FF" w:rsidP="00E85255">
      <w:pPr>
        <w:ind w:hanging="720"/>
        <w:rPr>
          <w:shd w:val="clear" w:color="auto" w:fill="FFFFFF"/>
        </w:rPr>
      </w:pPr>
      <w:r w:rsidRPr="00B818FF">
        <w:rPr>
          <w:shd w:val="clear" w:color="auto" w:fill="FFFFFF"/>
        </w:rPr>
        <w:t>Gilmore specifically provides qualitative data on black civil rights movement. Historically, the black civil rights movement is considered distinct and an American problem that needs to be studied. The book is therefore essential in the current topic as the author highlights and explains the involvement in radical movement and their roots in the United States.</w:t>
      </w:r>
    </w:p>
    <w:p w:rsidR="00CD798C"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Hall, Jacquelyn Dowd. "The long civil rights movement and the political uses of the past</w:t>
      </w:r>
      <w:r w:rsidR="00CD798C">
        <w:rPr>
          <w:rFonts w:cs="Times New Roman"/>
          <w:szCs w:val="24"/>
          <w:shd w:val="clear" w:color="auto" w:fill="FFFFFF"/>
        </w:rPr>
        <w:t>.</w:t>
      </w:r>
    </w:p>
    <w:p w:rsid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"In </w:t>
      </w:r>
      <w:r w:rsidR="000C78C2" w:rsidRPr="007D2A33">
        <w:rPr>
          <w:rFonts w:cs="Times New Roman"/>
          <w:i/>
          <w:iCs/>
          <w:szCs w:val="24"/>
          <w:shd w:val="clear" w:color="auto" w:fill="FFFFFF"/>
        </w:rPr>
        <w:t>the</w:t>
      </w:r>
      <w:bookmarkStart w:id="0" w:name="_GoBack"/>
      <w:bookmarkEnd w:id="0"/>
      <w:r w:rsidRPr="007D2A33">
        <w:rPr>
          <w:rFonts w:cs="Times New Roman"/>
          <w:i/>
          <w:iCs/>
          <w:szCs w:val="24"/>
          <w:shd w:val="clear" w:color="auto" w:fill="FFFFFF"/>
        </w:rPr>
        <w:t>Best American History Essays 2007</w:t>
      </w:r>
      <w:r w:rsidRPr="007D2A33">
        <w:rPr>
          <w:rFonts w:cs="Times New Roman"/>
          <w:szCs w:val="24"/>
          <w:shd w:val="clear" w:color="auto" w:fill="FFFFFF"/>
        </w:rPr>
        <w:t>, pp. 235-271. Palgrave Macmillan, New York, 2007.</w:t>
      </w:r>
    </w:p>
    <w:p w:rsidR="007D2A33" w:rsidRPr="00B818FF" w:rsidRDefault="00B818FF" w:rsidP="00E85255">
      <w:pPr>
        <w:ind w:hanging="720"/>
        <w:rPr>
          <w:shd w:val="clear" w:color="auto" w:fill="FFFFFF"/>
        </w:rPr>
      </w:pPr>
      <w:r w:rsidRPr="00B818FF">
        <w:rPr>
          <w:shd w:val="clear" w:color="auto" w:fill="FFFFFF"/>
        </w:rPr>
        <w:t xml:space="preserve">Hall (2007) describes the .dominant topic of civil movement in the Americans memory. The author elaborates on the distilled civil right memories and the factors that caused them. Further, Hall discusses the impact of civil right movement on public rituals, museums, political contestation and textbooks. Therefore, the book provides concepts for use in the current topic. </w:t>
      </w:r>
    </w:p>
    <w:p w:rsidR="00AB4A28"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Lovett, Tom, Chris Clarke, and Avila Kilmurray.</w:t>
      </w:r>
    </w:p>
    <w:p w:rsid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 </w:t>
      </w:r>
      <w:r w:rsidRPr="007D2A33">
        <w:rPr>
          <w:rFonts w:cs="Times New Roman"/>
          <w:i/>
          <w:iCs/>
          <w:szCs w:val="24"/>
          <w:shd w:val="clear" w:color="auto" w:fill="FFFFFF"/>
        </w:rPr>
        <w:t>Adult education and community action: Adult education and popular social movements</w:t>
      </w:r>
      <w:r w:rsidRPr="007D2A33">
        <w:rPr>
          <w:rFonts w:cs="Times New Roman"/>
          <w:szCs w:val="24"/>
          <w:shd w:val="clear" w:color="auto" w:fill="FFFFFF"/>
        </w:rPr>
        <w:t>. Routledge, 2018.</w:t>
      </w:r>
    </w:p>
    <w:p w:rsidR="007D2A33" w:rsidRPr="00B818FF" w:rsidRDefault="00B818FF" w:rsidP="00E85255">
      <w:pPr>
        <w:ind w:hanging="720"/>
        <w:rPr>
          <w:shd w:val="clear" w:color="auto" w:fill="FFFFFF"/>
        </w:rPr>
      </w:pPr>
      <w:r w:rsidRPr="00B818FF">
        <w:rPr>
          <w:shd w:val="clear" w:color="auto" w:fill="FFFFFF"/>
        </w:rPr>
        <w:t xml:space="preserve">Studying the history of civil rights is important, especially in a society that continuously faces extensive political problems, racial strife and social attitudes among other challenges. Lovett provides a research data that illustrates the challenges that facilitated the civil rights movement. Therefore, the article is important in understanding the benefits of educating people on civil rights movement. </w:t>
      </w:r>
    </w:p>
    <w:p w:rsid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lastRenderedPageBreak/>
        <w:t>Neubeck, Kenneth J., and Noel A. Cazenave. </w:t>
      </w:r>
      <w:r w:rsidRPr="007D2A33">
        <w:rPr>
          <w:rFonts w:cs="Times New Roman"/>
          <w:i/>
          <w:iCs/>
          <w:szCs w:val="24"/>
          <w:shd w:val="clear" w:color="auto" w:fill="FFFFFF"/>
        </w:rPr>
        <w:t>Welfare racism: Playing the race card against America's poor</w:t>
      </w:r>
      <w:r w:rsidRPr="007D2A33">
        <w:rPr>
          <w:rFonts w:cs="Times New Roman"/>
          <w:szCs w:val="24"/>
          <w:shd w:val="clear" w:color="auto" w:fill="FFFFFF"/>
        </w:rPr>
        <w:t>. Routledge, 2002.</w:t>
      </w:r>
    </w:p>
    <w:p w:rsidR="00B818FF" w:rsidRPr="007D2A33" w:rsidRDefault="00B818FF" w:rsidP="00E85255">
      <w:pPr>
        <w:spacing w:after="0"/>
        <w:ind w:hanging="720"/>
        <w:jc w:val="both"/>
        <w:rPr>
          <w:rFonts w:cs="Times New Roman"/>
          <w:szCs w:val="24"/>
          <w:shd w:val="clear" w:color="auto" w:fill="FFFFFF"/>
        </w:rPr>
      </w:pPr>
      <w:r w:rsidRPr="007D2A33">
        <w:rPr>
          <w:rFonts w:cs="Times New Roman"/>
          <w:szCs w:val="24"/>
          <w:shd w:val="clear" w:color="auto" w:fill="FFFFFF"/>
        </w:rPr>
        <w:t xml:space="preserve">Today’s study of racism indicates that the history began long time ago and was regulated by the civil rights movements. The civil rights movements led to development of programs hat targeted reducing the degree of racism. The programs include socially inflammatory and affirmative action, which are both reasons to studying civil rights movement. </w:t>
      </w:r>
    </w:p>
    <w:p w:rsid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Thompson, Jane L. </w:t>
      </w:r>
      <w:r w:rsidRPr="007D2A33">
        <w:rPr>
          <w:rFonts w:cs="Times New Roman"/>
          <w:i/>
          <w:iCs/>
          <w:szCs w:val="24"/>
          <w:shd w:val="clear" w:color="auto" w:fill="FFFFFF"/>
        </w:rPr>
        <w:t>Adult education for a change</w:t>
      </w:r>
      <w:r w:rsidRPr="007D2A33">
        <w:rPr>
          <w:rFonts w:cs="Times New Roman"/>
          <w:szCs w:val="24"/>
          <w:shd w:val="clear" w:color="auto" w:fill="FFFFFF"/>
        </w:rPr>
        <w:t>. Routledge, 2018.</w:t>
      </w:r>
    </w:p>
    <w:p w:rsidR="00B818FF" w:rsidRPr="00B818FF" w:rsidRDefault="00B818FF" w:rsidP="00E85255">
      <w:pPr>
        <w:ind w:hanging="720"/>
        <w:rPr>
          <w:shd w:val="clear" w:color="auto" w:fill="FFFFFF"/>
        </w:rPr>
      </w:pPr>
      <w:r w:rsidRPr="00B818FF">
        <w:rPr>
          <w:shd w:val="clear" w:color="auto" w:fill="FFFFFF"/>
        </w:rPr>
        <w:t xml:space="preserve">Thompson provides illustration of the impact of educating adults for change especially in facilitating civil rights. The book presents a collection of ideas regarding the consequences of civil rights movement education among adults. The author thus points out to positive impacts of guiding people to represent civil positions. </w:t>
      </w:r>
    </w:p>
    <w:p w:rsidR="007D2A33" w:rsidRPr="007D2A33" w:rsidRDefault="007D2A33" w:rsidP="00E85255">
      <w:pPr>
        <w:spacing w:after="0"/>
        <w:ind w:left="720" w:hanging="720"/>
        <w:rPr>
          <w:rFonts w:cs="Times New Roman"/>
          <w:szCs w:val="24"/>
          <w:shd w:val="clear" w:color="auto" w:fill="FFFFFF"/>
        </w:rPr>
      </w:pPr>
      <w:r w:rsidRPr="007D2A33">
        <w:rPr>
          <w:rFonts w:cs="Times New Roman"/>
          <w:szCs w:val="24"/>
          <w:shd w:val="clear" w:color="auto" w:fill="FFFFFF"/>
        </w:rPr>
        <w:t>Thompson, Jane. </w:t>
      </w:r>
      <w:r w:rsidRPr="007D2A33">
        <w:rPr>
          <w:rFonts w:cs="Times New Roman"/>
          <w:i/>
          <w:iCs/>
          <w:szCs w:val="24"/>
          <w:shd w:val="clear" w:color="auto" w:fill="FFFFFF"/>
        </w:rPr>
        <w:t>Learning liberation: Women's response to men's education</w:t>
      </w:r>
      <w:r w:rsidRPr="007D2A33">
        <w:rPr>
          <w:rFonts w:cs="Times New Roman"/>
          <w:szCs w:val="24"/>
          <w:shd w:val="clear" w:color="auto" w:fill="FFFFFF"/>
        </w:rPr>
        <w:t>. Routledge, 2017.</w:t>
      </w:r>
    </w:p>
    <w:p w:rsidR="007D2A33" w:rsidRPr="000D548C" w:rsidRDefault="00B818FF" w:rsidP="00E85255">
      <w:pPr>
        <w:ind w:hanging="720"/>
        <w:rPr>
          <w:shd w:val="clear" w:color="auto" w:fill="FFFFFF"/>
        </w:rPr>
      </w:pPr>
      <w:r w:rsidRPr="00B818FF">
        <w:rPr>
          <w:shd w:val="clear" w:color="auto" w:fill="FFFFFF"/>
        </w:rPr>
        <w:t xml:space="preserve">Women’s right movement was one of the most civil rights movements in the United States history. Thompson presents the impact of studying women today, b describing the extent to which these challenges began in the past. Therefore, this book is important as it illustrates the extent of liberation of women hence enhancing our understanding of the roots of civil rights and their benefits. </w:t>
      </w:r>
    </w:p>
    <w:p w:rsidR="007D2A33" w:rsidRDefault="007D2A33" w:rsidP="007D2A33">
      <w:pPr>
        <w:spacing w:after="0"/>
        <w:ind w:left="720" w:hanging="720"/>
        <w:jc w:val="center"/>
        <w:rPr>
          <w:rFonts w:cs="Times New Roman"/>
          <w:szCs w:val="24"/>
          <w:shd w:val="clear" w:color="auto" w:fill="FFFFFF"/>
        </w:rPr>
      </w:pPr>
    </w:p>
    <w:p w:rsidR="00203710" w:rsidRPr="007D2A33" w:rsidRDefault="00203710" w:rsidP="00B818FF">
      <w:pPr>
        <w:spacing w:after="0"/>
        <w:ind w:firstLine="0"/>
        <w:rPr>
          <w:rFonts w:cs="Times New Roman"/>
          <w:szCs w:val="24"/>
          <w:shd w:val="clear" w:color="auto" w:fill="FFFFFF"/>
        </w:rPr>
      </w:pPr>
    </w:p>
    <w:sectPr w:rsidR="00203710" w:rsidRPr="007D2A33" w:rsidSect="008E016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2B3" w:rsidRDefault="00FA12B3" w:rsidP="008E016A">
      <w:pPr>
        <w:spacing w:after="0" w:line="240" w:lineRule="auto"/>
      </w:pPr>
      <w:r>
        <w:separator/>
      </w:r>
    </w:p>
  </w:endnote>
  <w:endnote w:type="continuationSeparator" w:id="1">
    <w:p w:rsidR="00FA12B3" w:rsidRDefault="00FA12B3" w:rsidP="008E0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2B3" w:rsidRDefault="00FA12B3" w:rsidP="008E016A">
      <w:pPr>
        <w:spacing w:after="0" w:line="240" w:lineRule="auto"/>
      </w:pPr>
      <w:r>
        <w:separator/>
      </w:r>
    </w:p>
  </w:footnote>
  <w:footnote w:type="continuationSeparator" w:id="1">
    <w:p w:rsidR="00FA12B3" w:rsidRDefault="00FA12B3" w:rsidP="008E01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6A" w:rsidRPr="008E016A" w:rsidRDefault="008E016A" w:rsidP="00E539EF">
    <w:pPr>
      <w:shd w:val="clear" w:color="auto" w:fill="FFFFFF"/>
      <w:spacing w:after="0"/>
      <w:ind w:firstLine="0"/>
      <w:outlineLvl w:val="0"/>
      <w:rPr>
        <w:rFonts w:eastAsia="Times New Roman" w:cs="Times New Roman"/>
        <w:kern w:val="36"/>
        <w:szCs w:val="24"/>
      </w:rPr>
    </w:pPr>
    <w:r w:rsidRPr="00E74798">
      <w:rPr>
        <w:rFonts w:eastAsia="Times New Roman" w:cs="Times New Roman"/>
        <w:kern w:val="36"/>
        <w:szCs w:val="24"/>
      </w:rPr>
      <w:t>ANNOTATED</w:t>
    </w:r>
    <w:r>
      <w:rPr>
        <w:rFonts w:eastAsia="Times New Roman" w:cs="Times New Roman"/>
        <w:kern w:val="36"/>
        <w:szCs w:val="24"/>
      </w:rPr>
      <w:t xml:space="preserve"> B</w:t>
    </w:r>
    <w:r w:rsidRPr="00E74798">
      <w:rPr>
        <w:rFonts w:eastAsia="Times New Roman" w:cs="Times New Roman"/>
        <w:kern w:val="36"/>
        <w:szCs w:val="24"/>
      </w:rPr>
      <w:t>IBLIOGRAPHY</w:t>
    </w:r>
    <w:r>
      <w:rPr>
        <w:rFonts w:eastAsia="Times New Roman" w:cs="Times New Roman"/>
        <w:kern w:val="36"/>
        <w:szCs w:val="24"/>
      </w:rPr>
      <w:tab/>
    </w:r>
    <w:r>
      <w:rPr>
        <w:rFonts w:eastAsia="Times New Roman" w:cs="Times New Roman"/>
        <w:kern w:val="36"/>
        <w:szCs w:val="24"/>
      </w:rPr>
      <w:tab/>
    </w:r>
    <w:r>
      <w:rPr>
        <w:rFonts w:eastAsia="Times New Roman" w:cs="Times New Roman"/>
        <w:kern w:val="36"/>
        <w:szCs w:val="24"/>
      </w:rPr>
      <w:tab/>
    </w:r>
    <w:r>
      <w:rPr>
        <w:rFonts w:eastAsia="Times New Roman" w:cs="Times New Roman"/>
        <w:kern w:val="36"/>
        <w:szCs w:val="24"/>
      </w:rPr>
      <w:tab/>
    </w:r>
    <w:r>
      <w:rPr>
        <w:rFonts w:eastAsia="Times New Roman" w:cs="Times New Roman"/>
        <w:kern w:val="36"/>
        <w:szCs w:val="24"/>
      </w:rPr>
      <w:tab/>
    </w:r>
    <w:r>
      <w:rPr>
        <w:rFonts w:eastAsia="Times New Roman" w:cs="Times New Roman"/>
        <w:kern w:val="36"/>
        <w:szCs w:val="24"/>
      </w:rPr>
      <w:tab/>
    </w:r>
    <w:r>
      <w:rPr>
        <w:rFonts w:eastAsia="Times New Roman" w:cs="Times New Roman"/>
        <w:kern w:val="36"/>
        <w:szCs w:val="24"/>
      </w:rPr>
      <w:tab/>
    </w:r>
    <w:r>
      <w:rPr>
        <w:rFonts w:eastAsia="Times New Roman" w:cs="Times New Roman"/>
        <w:kern w:val="36"/>
        <w:szCs w:val="24"/>
      </w:rPr>
      <w:tab/>
    </w:r>
    <w:r w:rsidR="0036672E" w:rsidRPr="008E016A">
      <w:rPr>
        <w:rFonts w:eastAsia="Times New Roman" w:cs="Times New Roman"/>
        <w:kern w:val="36"/>
        <w:szCs w:val="24"/>
      </w:rPr>
      <w:fldChar w:fldCharType="begin"/>
    </w:r>
    <w:r w:rsidRPr="008E016A">
      <w:rPr>
        <w:rFonts w:eastAsia="Times New Roman" w:cs="Times New Roman"/>
        <w:kern w:val="36"/>
        <w:szCs w:val="24"/>
      </w:rPr>
      <w:instrText xml:space="preserve"> PAGE   \* MERGEFORMAT </w:instrText>
    </w:r>
    <w:r w:rsidR="0036672E" w:rsidRPr="008E016A">
      <w:rPr>
        <w:rFonts w:eastAsia="Times New Roman" w:cs="Times New Roman"/>
        <w:kern w:val="36"/>
        <w:szCs w:val="24"/>
      </w:rPr>
      <w:fldChar w:fldCharType="separate"/>
    </w:r>
    <w:r w:rsidR="005A2B76">
      <w:rPr>
        <w:rFonts w:eastAsia="Times New Roman" w:cs="Times New Roman"/>
        <w:noProof/>
        <w:kern w:val="36"/>
        <w:szCs w:val="24"/>
      </w:rPr>
      <w:t>2</w:t>
    </w:r>
    <w:r w:rsidR="0036672E" w:rsidRPr="008E016A">
      <w:rPr>
        <w:rFonts w:eastAsia="Times New Roman" w:cs="Times New Roman"/>
        <w:kern w:val="36"/>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6A" w:rsidRDefault="008E016A">
    <w:pPr>
      <w:pStyle w:val="Header"/>
    </w:pPr>
    <w:r w:rsidRPr="00E74798">
      <w:rPr>
        <w:rFonts w:eastAsia="Times New Roman" w:cs="Times New Roman"/>
        <w:kern w:val="36"/>
        <w:szCs w:val="24"/>
      </w:rPr>
      <w:t>ANNOTATED</w:t>
    </w:r>
    <w:r>
      <w:rPr>
        <w:rFonts w:eastAsia="Times New Roman" w:cs="Times New Roman"/>
        <w:kern w:val="36"/>
        <w:szCs w:val="24"/>
      </w:rPr>
      <w:t xml:space="preserve"> B</w:t>
    </w:r>
    <w:r w:rsidRPr="00E74798">
      <w:rPr>
        <w:rFonts w:eastAsia="Times New Roman" w:cs="Times New Roman"/>
        <w:kern w:val="36"/>
        <w:szCs w:val="24"/>
      </w:rPr>
      <w:t>IBLIOGRAPHY</w:t>
    </w:r>
    <w:r>
      <w:rPr>
        <w:rFonts w:eastAsia="Times New Roman" w:cs="Times New Roman"/>
        <w:kern w:val="36"/>
        <w:szCs w:val="24"/>
      </w:rPr>
      <w:tab/>
    </w:r>
    <w:r>
      <w:rPr>
        <w:rFonts w:eastAsia="Times New Roman" w:cs="Times New Roman"/>
        <w:kern w:val="36"/>
        <w:szCs w:val="24"/>
      </w:rPr>
      <w:tab/>
    </w:r>
    <w:r w:rsidR="0036672E" w:rsidRPr="008E016A">
      <w:rPr>
        <w:rFonts w:eastAsia="Times New Roman" w:cs="Times New Roman"/>
        <w:kern w:val="36"/>
        <w:szCs w:val="24"/>
      </w:rPr>
      <w:fldChar w:fldCharType="begin"/>
    </w:r>
    <w:r w:rsidRPr="008E016A">
      <w:rPr>
        <w:rFonts w:eastAsia="Times New Roman" w:cs="Times New Roman"/>
        <w:kern w:val="36"/>
        <w:szCs w:val="24"/>
      </w:rPr>
      <w:instrText xml:space="preserve"> PAGE   \* MERGEFORMAT </w:instrText>
    </w:r>
    <w:r w:rsidR="0036672E" w:rsidRPr="008E016A">
      <w:rPr>
        <w:rFonts w:eastAsia="Times New Roman" w:cs="Times New Roman"/>
        <w:kern w:val="36"/>
        <w:szCs w:val="24"/>
      </w:rPr>
      <w:fldChar w:fldCharType="separate"/>
    </w:r>
    <w:r w:rsidR="005A2B76">
      <w:rPr>
        <w:rFonts w:eastAsia="Times New Roman" w:cs="Times New Roman"/>
        <w:noProof/>
        <w:kern w:val="36"/>
        <w:szCs w:val="24"/>
      </w:rPr>
      <w:t>1</w:t>
    </w:r>
    <w:r w:rsidR="0036672E" w:rsidRPr="008E016A">
      <w:rPr>
        <w:rFonts w:eastAsia="Times New Roman" w:cs="Times New Roman"/>
        <w:kern w:val="36"/>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U1NLOwNDExMjS1MLFU0lEKTi0uzszPAykwqwUAzrjvPCwAAAA="/>
  </w:docVars>
  <w:rsids>
    <w:rsidRoot w:val="00B64367"/>
    <w:rsid w:val="00055488"/>
    <w:rsid w:val="00086B6A"/>
    <w:rsid w:val="00090503"/>
    <w:rsid w:val="00091A56"/>
    <w:rsid w:val="000C78C2"/>
    <w:rsid w:val="000D53FA"/>
    <w:rsid w:val="000D548C"/>
    <w:rsid w:val="00120294"/>
    <w:rsid w:val="00190D73"/>
    <w:rsid w:val="001A6C13"/>
    <w:rsid w:val="001D1601"/>
    <w:rsid w:val="00203710"/>
    <w:rsid w:val="00222844"/>
    <w:rsid w:val="00252FFE"/>
    <w:rsid w:val="002A2A08"/>
    <w:rsid w:val="002E21B0"/>
    <w:rsid w:val="00315DC0"/>
    <w:rsid w:val="0032409F"/>
    <w:rsid w:val="003410D1"/>
    <w:rsid w:val="00345DD3"/>
    <w:rsid w:val="0036672E"/>
    <w:rsid w:val="00474E72"/>
    <w:rsid w:val="00486029"/>
    <w:rsid w:val="00491D31"/>
    <w:rsid w:val="004932D1"/>
    <w:rsid w:val="004B4189"/>
    <w:rsid w:val="004E799C"/>
    <w:rsid w:val="004F08EF"/>
    <w:rsid w:val="00543C01"/>
    <w:rsid w:val="00551B77"/>
    <w:rsid w:val="00580E77"/>
    <w:rsid w:val="005A2B76"/>
    <w:rsid w:val="00654A4C"/>
    <w:rsid w:val="006B5353"/>
    <w:rsid w:val="006B65F1"/>
    <w:rsid w:val="006C5A6D"/>
    <w:rsid w:val="006F4E71"/>
    <w:rsid w:val="00720648"/>
    <w:rsid w:val="00797952"/>
    <w:rsid w:val="007D2A33"/>
    <w:rsid w:val="008807B8"/>
    <w:rsid w:val="00891541"/>
    <w:rsid w:val="008D72DE"/>
    <w:rsid w:val="008E016A"/>
    <w:rsid w:val="00901FE3"/>
    <w:rsid w:val="00913044"/>
    <w:rsid w:val="009420D7"/>
    <w:rsid w:val="009B0461"/>
    <w:rsid w:val="00A30750"/>
    <w:rsid w:val="00A83F5B"/>
    <w:rsid w:val="00A8412F"/>
    <w:rsid w:val="00AB1B7D"/>
    <w:rsid w:val="00AB4A28"/>
    <w:rsid w:val="00AC0F74"/>
    <w:rsid w:val="00B046A0"/>
    <w:rsid w:val="00B11271"/>
    <w:rsid w:val="00B64367"/>
    <w:rsid w:val="00B74E86"/>
    <w:rsid w:val="00B818FF"/>
    <w:rsid w:val="00BC7C9E"/>
    <w:rsid w:val="00BD4189"/>
    <w:rsid w:val="00C30A25"/>
    <w:rsid w:val="00C55DE7"/>
    <w:rsid w:val="00C60964"/>
    <w:rsid w:val="00C63095"/>
    <w:rsid w:val="00C81032"/>
    <w:rsid w:val="00CD798C"/>
    <w:rsid w:val="00D020C7"/>
    <w:rsid w:val="00D22F69"/>
    <w:rsid w:val="00DA1252"/>
    <w:rsid w:val="00E539EF"/>
    <w:rsid w:val="00E74798"/>
    <w:rsid w:val="00E85255"/>
    <w:rsid w:val="00EB59F2"/>
    <w:rsid w:val="00ED78E1"/>
    <w:rsid w:val="00F0052A"/>
    <w:rsid w:val="00F26461"/>
    <w:rsid w:val="00F50207"/>
    <w:rsid w:val="00F669C4"/>
    <w:rsid w:val="00F76868"/>
    <w:rsid w:val="00F82FEF"/>
    <w:rsid w:val="00FA12B3"/>
    <w:rsid w:val="00FA5559"/>
    <w:rsid w:val="00FB5E5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8FF"/>
    <w:pPr>
      <w:spacing w:line="480" w:lineRule="auto"/>
      <w:ind w:firstLine="720"/>
      <w:contextualSpacing/>
    </w:pPr>
    <w:rPr>
      <w:rFonts w:ascii="Times New Roman" w:hAnsi="Times New Roman"/>
      <w:sz w:val="24"/>
    </w:rPr>
  </w:style>
  <w:style w:type="paragraph" w:styleId="Heading1">
    <w:name w:val="heading 1"/>
    <w:basedOn w:val="Normal"/>
    <w:link w:val="Heading1Char"/>
    <w:uiPriority w:val="9"/>
    <w:qFormat/>
    <w:rsid w:val="00B6436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36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B5353"/>
    <w:rPr>
      <w:i/>
      <w:iCs/>
    </w:rPr>
  </w:style>
  <w:style w:type="paragraph" w:styleId="Header">
    <w:name w:val="header"/>
    <w:basedOn w:val="Normal"/>
    <w:link w:val="HeaderChar"/>
    <w:uiPriority w:val="99"/>
    <w:unhideWhenUsed/>
    <w:rsid w:val="008E0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16A"/>
  </w:style>
  <w:style w:type="paragraph" w:styleId="Footer">
    <w:name w:val="footer"/>
    <w:basedOn w:val="Normal"/>
    <w:link w:val="FooterChar"/>
    <w:uiPriority w:val="99"/>
    <w:unhideWhenUsed/>
    <w:rsid w:val="008E0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16A"/>
  </w:style>
</w:styles>
</file>

<file path=word/webSettings.xml><?xml version="1.0" encoding="utf-8"?>
<w:webSettings xmlns:r="http://schemas.openxmlformats.org/officeDocument/2006/relationships" xmlns:w="http://schemas.openxmlformats.org/wordprocessingml/2006/main">
  <w:divs>
    <w:div w:id="4246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Hellen</cp:lastModifiedBy>
  <cp:revision>2</cp:revision>
  <dcterms:created xsi:type="dcterms:W3CDTF">2019-03-15T05:07:00Z</dcterms:created>
  <dcterms:modified xsi:type="dcterms:W3CDTF">2019-03-15T05:07:00Z</dcterms:modified>
</cp:coreProperties>
</file>