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7598" w:rsidRDefault="00077598" w:rsidP="00077598">
      <w:pPr>
        <w:widowControl w:val="0"/>
        <w:autoSpaceDE w:val="0"/>
        <w:autoSpaceDN w:val="0"/>
        <w:adjustRightInd w:val="0"/>
        <w:spacing w:after="240"/>
        <w:rPr>
          <w:rFonts w:ascii="Times" w:hAnsi="Times" w:cs="Times"/>
        </w:rPr>
      </w:pPr>
      <w:r>
        <w:rPr>
          <w:rFonts w:ascii="Times" w:hAnsi="Times" w:cs="Times"/>
          <w:b/>
          <w:bCs/>
          <w:sz w:val="42"/>
          <w:szCs w:val="42"/>
        </w:rPr>
        <w:t>PSY600 Article Review List</w:t>
      </w:r>
    </w:p>
    <w:p w:rsidR="00077598" w:rsidRDefault="00077598" w:rsidP="00077598">
      <w:pPr>
        <w:widowControl w:val="0"/>
        <w:autoSpaceDE w:val="0"/>
        <w:autoSpaceDN w:val="0"/>
        <w:adjustRightInd w:val="0"/>
        <w:spacing w:after="240"/>
        <w:rPr>
          <w:rFonts w:ascii="Times" w:hAnsi="Times" w:cs="Times"/>
        </w:rPr>
      </w:pPr>
      <w:r>
        <w:rPr>
          <w:rFonts w:ascii="Times" w:hAnsi="Times" w:cs="Times"/>
          <w:b/>
          <w:bCs/>
          <w:sz w:val="32"/>
          <w:szCs w:val="32"/>
        </w:rPr>
        <w:t xml:space="preserve">Each article is listed under their respective field. Please select one of the articles below: </w:t>
      </w:r>
      <w:r>
        <w:rPr>
          <w:rFonts w:ascii="Times" w:hAnsi="Times" w:cs="Times"/>
          <w:b/>
          <w:bCs/>
          <w:sz w:val="30"/>
          <w:szCs w:val="30"/>
        </w:rPr>
        <w:t>Developmental Psychology</w:t>
      </w:r>
    </w:p>
    <w:p w:rsidR="00077598" w:rsidRDefault="00077598" w:rsidP="00077598">
      <w:pPr>
        <w:widowControl w:val="0"/>
        <w:autoSpaceDE w:val="0"/>
        <w:autoSpaceDN w:val="0"/>
        <w:adjustRightInd w:val="0"/>
        <w:spacing w:after="240"/>
        <w:rPr>
          <w:rFonts w:ascii="Times" w:hAnsi="Times" w:cs="Times"/>
        </w:rPr>
      </w:pPr>
      <w:r>
        <w:rPr>
          <w:rFonts w:ascii="Times New Roman" w:hAnsi="Times New Roman" w:cs="Times New Roman"/>
          <w:sz w:val="30"/>
          <w:szCs w:val="30"/>
        </w:rPr>
        <w:t xml:space="preserve">Keijsers, L., &amp; Poulin, F. (2013, March 11). </w:t>
      </w:r>
      <w:proofErr w:type="gramStart"/>
      <w:r>
        <w:rPr>
          <w:rFonts w:ascii="Times New Roman" w:hAnsi="Times New Roman" w:cs="Times New Roman"/>
          <w:sz w:val="30"/>
          <w:szCs w:val="30"/>
        </w:rPr>
        <w:t>Developmental changes in parent–child communication throughout adolescence.</w:t>
      </w:r>
      <w:proofErr w:type="gramEnd"/>
      <w:r>
        <w:rPr>
          <w:rFonts w:ascii="Times New Roman" w:hAnsi="Times New Roman" w:cs="Times New Roman"/>
          <w:sz w:val="30"/>
          <w:szCs w:val="30"/>
        </w:rPr>
        <w:t xml:space="preserve"> </w:t>
      </w:r>
      <w:proofErr w:type="gramStart"/>
      <w:r>
        <w:rPr>
          <w:rFonts w:ascii="Times New Roman" w:hAnsi="Times New Roman" w:cs="Times New Roman"/>
          <w:sz w:val="30"/>
          <w:szCs w:val="30"/>
        </w:rPr>
        <w:t>Developmental Psychology, 49(12), 2301-2308.</w:t>
      </w:r>
      <w:proofErr w:type="gramEnd"/>
      <w:r>
        <w:rPr>
          <w:rFonts w:ascii="Times New Roman" w:hAnsi="Times New Roman" w:cs="Times New Roman"/>
          <w:sz w:val="30"/>
          <w:szCs w:val="30"/>
        </w:rPr>
        <w:t xml:space="preserve"> </w:t>
      </w:r>
      <w:proofErr w:type="gramStart"/>
      <w:r>
        <w:rPr>
          <w:rFonts w:ascii="Times New Roman" w:hAnsi="Times New Roman" w:cs="Times New Roman"/>
          <w:sz w:val="30"/>
          <w:szCs w:val="30"/>
        </w:rPr>
        <w:t>doi:10.1037</w:t>
      </w:r>
      <w:proofErr w:type="gramEnd"/>
      <w:r>
        <w:rPr>
          <w:rFonts w:ascii="Times New Roman" w:hAnsi="Times New Roman" w:cs="Times New Roman"/>
          <w:sz w:val="30"/>
          <w:szCs w:val="30"/>
        </w:rPr>
        <w:t>/a0032217</w:t>
      </w:r>
    </w:p>
    <w:p w:rsidR="00077598" w:rsidRDefault="00077598" w:rsidP="00077598">
      <w:pPr>
        <w:widowControl w:val="0"/>
        <w:autoSpaceDE w:val="0"/>
        <w:autoSpaceDN w:val="0"/>
        <w:adjustRightInd w:val="0"/>
        <w:spacing w:after="240"/>
        <w:rPr>
          <w:rFonts w:ascii="Times" w:hAnsi="Times" w:cs="Times"/>
        </w:rPr>
      </w:pPr>
      <w:r>
        <w:rPr>
          <w:rFonts w:ascii="Times" w:hAnsi="Times" w:cs="Times"/>
          <w:sz w:val="32"/>
          <w:szCs w:val="32"/>
        </w:rPr>
        <w:t xml:space="preserve">• </w:t>
      </w:r>
      <w:proofErr w:type="gramStart"/>
      <w:r>
        <w:rPr>
          <w:rFonts w:ascii="Times New Roman" w:hAnsi="Times New Roman" w:cs="Times New Roman"/>
          <w:sz w:val="32"/>
          <w:szCs w:val="32"/>
        </w:rPr>
        <w:t>The</w:t>
      </w:r>
      <w:proofErr w:type="gramEnd"/>
      <w:r>
        <w:rPr>
          <w:rFonts w:ascii="Times New Roman" w:hAnsi="Times New Roman" w:cs="Times New Roman"/>
          <w:sz w:val="32"/>
          <w:szCs w:val="32"/>
        </w:rPr>
        <w:t xml:space="preserve"> full-text version of this article can be accessed through the EBSCOhost database in the Ashford University Library. This study examined how parent–child communication regarding adolescent unsupervised activities develops over the course of adolescence.</w:t>
      </w:r>
    </w:p>
    <w:p w:rsidR="00077598" w:rsidRDefault="00077598" w:rsidP="00077598">
      <w:pPr>
        <w:widowControl w:val="0"/>
        <w:autoSpaceDE w:val="0"/>
        <w:autoSpaceDN w:val="0"/>
        <w:adjustRightInd w:val="0"/>
        <w:spacing w:after="240"/>
        <w:rPr>
          <w:rFonts w:ascii="Times" w:hAnsi="Times" w:cs="Times"/>
        </w:rPr>
      </w:pPr>
      <w:r>
        <w:rPr>
          <w:rFonts w:ascii="Times" w:hAnsi="Times" w:cs="Times"/>
          <w:b/>
          <w:bCs/>
          <w:sz w:val="30"/>
          <w:szCs w:val="30"/>
        </w:rPr>
        <w:t>Applied Social Psychology</w:t>
      </w:r>
    </w:p>
    <w:p w:rsidR="00077598" w:rsidRDefault="00077598" w:rsidP="00077598">
      <w:pPr>
        <w:widowControl w:val="0"/>
        <w:autoSpaceDE w:val="0"/>
        <w:autoSpaceDN w:val="0"/>
        <w:adjustRightInd w:val="0"/>
        <w:spacing w:after="240"/>
        <w:rPr>
          <w:rFonts w:ascii="Times" w:hAnsi="Times" w:cs="Times"/>
        </w:rPr>
      </w:pPr>
      <w:r>
        <w:rPr>
          <w:rFonts w:ascii="Times New Roman" w:hAnsi="Times New Roman" w:cs="Times New Roman"/>
          <w:sz w:val="30"/>
          <w:szCs w:val="30"/>
        </w:rPr>
        <w:t xml:space="preserve">Westaby, J. D., Pfaff, D. L., &amp; Redding, N. (2014). Psychology and social networks: A dynamic network theory perspective. </w:t>
      </w:r>
      <w:proofErr w:type="gramStart"/>
      <w:r>
        <w:rPr>
          <w:rFonts w:ascii="Times New Roman" w:hAnsi="Times New Roman" w:cs="Times New Roman"/>
          <w:sz w:val="30"/>
          <w:szCs w:val="30"/>
        </w:rPr>
        <w:t>American Psychologist, 69(3), 269-284.</w:t>
      </w:r>
      <w:proofErr w:type="gramEnd"/>
      <w:r>
        <w:rPr>
          <w:rFonts w:ascii="Times New Roman" w:hAnsi="Times New Roman" w:cs="Times New Roman"/>
          <w:sz w:val="30"/>
          <w:szCs w:val="30"/>
        </w:rPr>
        <w:t xml:space="preserve"> </w:t>
      </w:r>
      <w:proofErr w:type="gramStart"/>
      <w:r>
        <w:rPr>
          <w:rFonts w:ascii="Times New Roman" w:hAnsi="Times New Roman" w:cs="Times New Roman"/>
          <w:sz w:val="30"/>
          <w:szCs w:val="30"/>
        </w:rPr>
        <w:t>doi:10.1037</w:t>
      </w:r>
      <w:proofErr w:type="gramEnd"/>
      <w:r>
        <w:rPr>
          <w:rFonts w:ascii="Times New Roman" w:hAnsi="Times New Roman" w:cs="Times New Roman"/>
          <w:sz w:val="30"/>
          <w:szCs w:val="30"/>
        </w:rPr>
        <w:t>/a0036106</w:t>
      </w:r>
    </w:p>
    <w:p w:rsidR="00077598" w:rsidRDefault="00077598" w:rsidP="00077598">
      <w:pPr>
        <w:widowControl w:val="0"/>
        <w:autoSpaceDE w:val="0"/>
        <w:autoSpaceDN w:val="0"/>
        <w:adjustRightInd w:val="0"/>
        <w:spacing w:after="240"/>
        <w:rPr>
          <w:rFonts w:ascii="Times" w:hAnsi="Times" w:cs="Times"/>
        </w:rPr>
      </w:pPr>
      <w:r>
        <w:rPr>
          <w:rFonts w:ascii="Times" w:hAnsi="Times" w:cs="Times"/>
          <w:sz w:val="32"/>
          <w:szCs w:val="32"/>
        </w:rPr>
        <w:t xml:space="preserve">• </w:t>
      </w:r>
      <w:proofErr w:type="gramStart"/>
      <w:r>
        <w:rPr>
          <w:rFonts w:ascii="Times New Roman" w:hAnsi="Times New Roman" w:cs="Times New Roman"/>
          <w:sz w:val="32"/>
          <w:szCs w:val="32"/>
        </w:rPr>
        <w:t>The</w:t>
      </w:r>
      <w:proofErr w:type="gramEnd"/>
      <w:r>
        <w:rPr>
          <w:rFonts w:ascii="Times New Roman" w:hAnsi="Times New Roman" w:cs="Times New Roman"/>
          <w:sz w:val="32"/>
          <w:szCs w:val="32"/>
        </w:rPr>
        <w:t xml:space="preserve"> full-text version of this article can be accessed through the EBSCOhost database in the Ashford University Library. Authors of this article demonstrate how a dynamic network theory perspective explains the way in which social networks influence processes and related outcomes such as goal achievement, performance, learning, and emotional contagion at the interpersonal level of analysis.</w:t>
      </w:r>
    </w:p>
    <w:p w:rsidR="00077598" w:rsidRDefault="00077598" w:rsidP="00077598">
      <w:pPr>
        <w:widowControl w:val="0"/>
        <w:autoSpaceDE w:val="0"/>
        <w:autoSpaceDN w:val="0"/>
        <w:adjustRightInd w:val="0"/>
        <w:spacing w:after="240"/>
        <w:rPr>
          <w:rFonts w:ascii="Times" w:hAnsi="Times" w:cs="Times"/>
        </w:rPr>
      </w:pPr>
      <w:r>
        <w:rPr>
          <w:rFonts w:ascii="Times" w:hAnsi="Times" w:cs="Times"/>
          <w:b/>
          <w:bCs/>
          <w:sz w:val="30"/>
          <w:szCs w:val="30"/>
        </w:rPr>
        <w:t>Personality Theories</w:t>
      </w:r>
    </w:p>
    <w:p w:rsidR="00077598" w:rsidRDefault="00077598" w:rsidP="00077598">
      <w:pPr>
        <w:widowControl w:val="0"/>
        <w:autoSpaceDE w:val="0"/>
        <w:autoSpaceDN w:val="0"/>
        <w:adjustRightInd w:val="0"/>
        <w:spacing w:after="240"/>
        <w:rPr>
          <w:rFonts w:ascii="Times" w:hAnsi="Times" w:cs="Times"/>
        </w:rPr>
      </w:pPr>
      <w:r>
        <w:rPr>
          <w:rFonts w:ascii="Times New Roman" w:hAnsi="Times New Roman" w:cs="Times New Roman"/>
          <w:sz w:val="30"/>
          <w:szCs w:val="30"/>
        </w:rPr>
        <w:t xml:space="preserve">Van den Akker, A. L., Prinzie, P., Deković, M., De Haan, A. D., Asscher, J. J., &amp; Widiger, T. (2013). The development of personality extremity from childhood to adolescence: Relations to internalizing and externalizing problems. </w:t>
      </w:r>
      <w:proofErr w:type="gramStart"/>
      <w:r>
        <w:rPr>
          <w:rFonts w:ascii="Times New Roman" w:hAnsi="Times New Roman" w:cs="Times New Roman"/>
          <w:sz w:val="30"/>
          <w:szCs w:val="30"/>
        </w:rPr>
        <w:t>Journal of Personality and Social Psychology, 105(6), 1038-1048.</w:t>
      </w:r>
      <w:proofErr w:type="gramEnd"/>
      <w:r>
        <w:rPr>
          <w:rFonts w:ascii="Times New Roman" w:hAnsi="Times New Roman" w:cs="Times New Roman"/>
          <w:sz w:val="30"/>
          <w:szCs w:val="30"/>
        </w:rPr>
        <w:t xml:space="preserve"> </w:t>
      </w:r>
      <w:proofErr w:type="gramStart"/>
      <w:r>
        <w:rPr>
          <w:rFonts w:ascii="Times New Roman" w:hAnsi="Times New Roman" w:cs="Times New Roman"/>
          <w:sz w:val="30"/>
          <w:szCs w:val="30"/>
        </w:rPr>
        <w:t>doi:10.1037</w:t>
      </w:r>
      <w:proofErr w:type="gramEnd"/>
      <w:r>
        <w:rPr>
          <w:rFonts w:ascii="Times New Roman" w:hAnsi="Times New Roman" w:cs="Times New Roman"/>
          <w:sz w:val="30"/>
          <w:szCs w:val="30"/>
        </w:rPr>
        <w:t>/a0034441</w:t>
      </w:r>
    </w:p>
    <w:p w:rsidR="00077598" w:rsidRDefault="00077598" w:rsidP="00077598">
      <w:pPr>
        <w:widowControl w:val="0"/>
        <w:autoSpaceDE w:val="0"/>
        <w:autoSpaceDN w:val="0"/>
        <w:adjustRightInd w:val="0"/>
        <w:spacing w:after="240"/>
        <w:rPr>
          <w:rFonts w:ascii="Times" w:hAnsi="Times" w:cs="Times"/>
        </w:rPr>
      </w:pPr>
      <w:r>
        <w:rPr>
          <w:rFonts w:ascii="Times" w:hAnsi="Times" w:cs="Times"/>
          <w:sz w:val="32"/>
          <w:szCs w:val="32"/>
        </w:rPr>
        <w:t xml:space="preserve">• </w:t>
      </w:r>
      <w:proofErr w:type="gramStart"/>
      <w:r>
        <w:rPr>
          <w:rFonts w:ascii="Times New Roman" w:hAnsi="Times New Roman" w:cs="Times New Roman"/>
          <w:sz w:val="32"/>
          <w:szCs w:val="32"/>
        </w:rPr>
        <w:t>The</w:t>
      </w:r>
      <w:proofErr w:type="gramEnd"/>
      <w:r>
        <w:rPr>
          <w:rFonts w:ascii="Times New Roman" w:hAnsi="Times New Roman" w:cs="Times New Roman"/>
          <w:sz w:val="32"/>
          <w:szCs w:val="32"/>
        </w:rPr>
        <w:t xml:space="preserve"> full-text version of this article can be accessed through the </w:t>
      </w:r>
      <w:r>
        <w:rPr>
          <w:rFonts w:ascii="Times New Roman" w:hAnsi="Times New Roman" w:cs="Times New Roman"/>
          <w:sz w:val="32"/>
          <w:szCs w:val="32"/>
        </w:rPr>
        <w:lastRenderedPageBreak/>
        <w:t>EBSCOhost database in the Ashford University Library. Authors of this study investigated the development of personality extremity across childhood and adolescence as well as relations between personality extremity and adjustment problems.</w:t>
      </w:r>
    </w:p>
    <w:p w:rsidR="00077598" w:rsidRDefault="00077598" w:rsidP="00077598">
      <w:pPr>
        <w:widowControl w:val="0"/>
        <w:autoSpaceDE w:val="0"/>
        <w:autoSpaceDN w:val="0"/>
        <w:adjustRightInd w:val="0"/>
        <w:spacing w:after="240"/>
        <w:rPr>
          <w:rFonts w:ascii="Times" w:hAnsi="Times" w:cs="Times"/>
        </w:rPr>
      </w:pPr>
      <w:r>
        <w:rPr>
          <w:rFonts w:ascii="Times" w:hAnsi="Times" w:cs="Times"/>
          <w:b/>
          <w:bCs/>
          <w:sz w:val="30"/>
          <w:szCs w:val="30"/>
        </w:rPr>
        <w:t>Learning and Cognition</w:t>
      </w:r>
    </w:p>
    <w:p w:rsidR="00077598" w:rsidRDefault="00077598" w:rsidP="00077598">
      <w:pPr>
        <w:widowControl w:val="0"/>
        <w:autoSpaceDE w:val="0"/>
        <w:autoSpaceDN w:val="0"/>
        <w:adjustRightInd w:val="0"/>
        <w:spacing w:after="240"/>
        <w:rPr>
          <w:rFonts w:ascii="Times" w:hAnsi="Times" w:cs="Times"/>
        </w:rPr>
      </w:pPr>
      <w:r>
        <w:rPr>
          <w:rFonts w:ascii="Times New Roman" w:hAnsi="Times New Roman" w:cs="Times New Roman"/>
          <w:sz w:val="30"/>
          <w:szCs w:val="30"/>
        </w:rPr>
        <w:t xml:space="preserve">Palmer, L. K. (2013). </w:t>
      </w:r>
      <w:proofErr w:type="gramStart"/>
      <w:r>
        <w:rPr>
          <w:rFonts w:ascii="Times New Roman" w:hAnsi="Times New Roman" w:cs="Times New Roman"/>
          <w:sz w:val="30"/>
          <w:szCs w:val="30"/>
        </w:rPr>
        <w:t>The relationship between stress, fatigue, and cognitive functioning.</w:t>
      </w:r>
      <w:proofErr w:type="gramEnd"/>
      <w:r>
        <w:rPr>
          <w:rFonts w:ascii="Times New Roman" w:hAnsi="Times New Roman" w:cs="Times New Roman"/>
          <w:sz w:val="30"/>
          <w:szCs w:val="30"/>
        </w:rPr>
        <w:t xml:space="preserve"> </w:t>
      </w:r>
      <w:proofErr w:type="gramStart"/>
      <w:r>
        <w:rPr>
          <w:rFonts w:ascii="Times New Roman" w:hAnsi="Times New Roman" w:cs="Times New Roman"/>
          <w:sz w:val="30"/>
          <w:szCs w:val="30"/>
        </w:rPr>
        <w:t>College Student Journal, 47(2), 312-325.</w:t>
      </w:r>
      <w:proofErr w:type="gramEnd"/>
      <w:r>
        <w:rPr>
          <w:rFonts w:ascii="Times New Roman" w:hAnsi="Times New Roman" w:cs="Times New Roman"/>
          <w:sz w:val="30"/>
          <w:szCs w:val="30"/>
        </w:rPr>
        <w:t xml:space="preserve"> Retrieved from the EBSCOhost database.</w:t>
      </w:r>
    </w:p>
    <w:p w:rsidR="00077598" w:rsidRDefault="00077598" w:rsidP="00077598">
      <w:pPr>
        <w:widowControl w:val="0"/>
        <w:autoSpaceDE w:val="0"/>
        <w:autoSpaceDN w:val="0"/>
        <w:adjustRightInd w:val="0"/>
        <w:spacing w:after="240"/>
        <w:rPr>
          <w:rFonts w:ascii="Times" w:hAnsi="Times" w:cs="Times"/>
        </w:rPr>
      </w:pPr>
      <w:r>
        <w:rPr>
          <w:rFonts w:ascii="Times" w:hAnsi="Times" w:cs="Times"/>
          <w:sz w:val="32"/>
          <w:szCs w:val="32"/>
        </w:rPr>
        <w:t xml:space="preserve">• </w:t>
      </w:r>
      <w:r>
        <w:rPr>
          <w:rFonts w:ascii="Times New Roman" w:hAnsi="Times New Roman" w:cs="Times New Roman"/>
          <w:sz w:val="32"/>
          <w:szCs w:val="32"/>
        </w:rPr>
        <w:t>Researchers examined fatigue, stress, and executive functioning's effect on learning and various cognitive functions in college-aged students with learning challenges.</w:t>
      </w:r>
    </w:p>
    <w:p w:rsidR="00077598" w:rsidRDefault="00077598" w:rsidP="00077598">
      <w:pPr>
        <w:widowControl w:val="0"/>
        <w:autoSpaceDE w:val="0"/>
        <w:autoSpaceDN w:val="0"/>
        <w:adjustRightInd w:val="0"/>
        <w:spacing w:after="240"/>
        <w:rPr>
          <w:rFonts w:ascii="Times" w:hAnsi="Times" w:cs="Times"/>
        </w:rPr>
      </w:pPr>
      <w:r>
        <w:rPr>
          <w:rFonts w:ascii="Times" w:hAnsi="Times" w:cs="Times"/>
          <w:b/>
          <w:bCs/>
          <w:sz w:val="30"/>
          <w:szCs w:val="30"/>
        </w:rPr>
        <w:t>Biological Bases of Behavior</w:t>
      </w:r>
    </w:p>
    <w:p w:rsidR="00077598" w:rsidRDefault="00077598" w:rsidP="00077598">
      <w:pPr>
        <w:widowControl w:val="0"/>
        <w:autoSpaceDE w:val="0"/>
        <w:autoSpaceDN w:val="0"/>
        <w:adjustRightInd w:val="0"/>
        <w:spacing w:after="240"/>
        <w:rPr>
          <w:rFonts w:ascii="Times" w:hAnsi="Times" w:cs="Times"/>
        </w:rPr>
      </w:pPr>
      <w:r>
        <w:rPr>
          <w:rFonts w:ascii="Times New Roman" w:hAnsi="Times New Roman" w:cs="Times New Roman"/>
          <w:sz w:val="30"/>
          <w:szCs w:val="30"/>
        </w:rPr>
        <w:t>Elam, K. K., Harold, G. T., Neiderhiser, J. M., Reiss, D., Shaw, D. S., Natsuaki, M. N., &amp; ... Leve, L. D. (2014). Adoptive parent hostility and children’s peer behavior problems: Examining the role of</w:t>
      </w:r>
    </w:p>
    <w:p w:rsidR="00077598" w:rsidRDefault="00077598" w:rsidP="00077598">
      <w:pPr>
        <w:widowControl w:val="0"/>
        <w:autoSpaceDE w:val="0"/>
        <w:autoSpaceDN w:val="0"/>
        <w:adjustRightInd w:val="0"/>
        <w:spacing w:after="240"/>
        <w:rPr>
          <w:rFonts w:ascii="Times" w:hAnsi="Times" w:cs="Times"/>
        </w:rPr>
      </w:pPr>
      <w:proofErr w:type="gramStart"/>
      <w:r>
        <w:rPr>
          <w:rFonts w:ascii="Times New Roman" w:hAnsi="Times New Roman" w:cs="Times New Roman"/>
          <w:sz w:val="30"/>
          <w:szCs w:val="30"/>
        </w:rPr>
        <w:t>genetically</w:t>
      </w:r>
      <w:proofErr w:type="gramEnd"/>
      <w:r>
        <w:rPr>
          <w:rFonts w:ascii="Times New Roman" w:hAnsi="Times New Roman" w:cs="Times New Roman"/>
          <w:sz w:val="30"/>
          <w:szCs w:val="30"/>
        </w:rPr>
        <w:t xml:space="preserve"> informed child attributes on adoptive parent behavior. </w:t>
      </w:r>
      <w:proofErr w:type="gramStart"/>
      <w:r>
        <w:rPr>
          <w:rFonts w:ascii="Times New Roman" w:hAnsi="Times New Roman" w:cs="Times New Roman"/>
          <w:sz w:val="30"/>
          <w:szCs w:val="30"/>
        </w:rPr>
        <w:t>Developmental Psychology, 50(5), 1543-1552.</w:t>
      </w:r>
      <w:proofErr w:type="gramEnd"/>
      <w:r>
        <w:rPr>
          <w:rFonts w:ascii="Times New Roman" w:hAnsi="Times New Roman" w:cs="Times New Roman"/>
          <w:sz w:val="30"/>
          <w:szCs w:val="30"/>
        </w:rPr>
        <w:t xml:space="preserve"> </w:t>
      </w:r>
      <w:proofErr w:type="gramStart"/>
      <w:r>
        <w:rPr>
          <w:rFonts w:ascii="Times New Roman" w:hAnsi="Times New Roman" w:cs="Times New Roman"/>
          <w:sz w:val="30"/>
          <w:szCs w:val="30"/>
        </w:rPr>
        <w:t>doi:10.1037</w:t>
      </w:r>
      <w:proofErr w:type="gramEnd"/>
      <w:r>
        <w:rPr>
          <w:rFonts w:ascii="Times New Roman" w:hAnsi="Times New Roman" w:cs="Times New Roman"/>
          <w:sz w:val="30"/>
          <w:szCs w:val="30"/>
        </w:rPr>
        <w:t>/a0035470</w:t>
      </w:r>
    </w:p>
    <w:p w:rsidR="00077598" w:rsidRDefault="00077598" w:rsidP="00077598">
      <w:pPr>
        <w:widowControl w:val="0"/>
        <w:autoSpaceDE w:val="0"/>
        <w:autoSpaceDN w:val="0"/>
        <w:adjustRightInd w:val="0"/>
        <w:spacing w:after="240"/>
        <w:rPr>
          <w:rFonts w:ascii="Times" w:hAnsi="Times" w:cs="Times"/>
        </w:rPr>
      </w:pPr>
      <w:r>
        <w:rPr>
          <w:rFonts w:ascii="Times" w:hAnsi="Times" w:cs="Times"/>
          <w:sz w:val="32"/>
          <w:szCs w:val="32"/>
        </w:rPr>
        <w:t xml:space="preserve">• </w:t>
      </w:r>
      <w:proofErr w:type="gramStart"/>
      <w:r>
        <w:rPr>
          <w:rFonts w:ascii="Times New Roman" w:hAnsi="Times New Roman" w:cs="Times New Roman"/>
          <w:sz w:val="32"/>
          <w:szCs w:val="32"/>
        </w:rPr>
        <w:t>The</w:t>
      </w:r>
      <w:proofErr w:type="gramEnd"/>
      <w:r>
        <w:rPr>
          <w:rFonts w:ascii="Times New Roman" w:hAnsi="Times New Roman" w:cs="Times New Roman"/>
          <w:sz w:val="32"/>
          <w:szCs w:val="32"/>
        </w:rPr>
        <w:t xml:space="preserve"> full-text version of this article can be accessed through the EBSCOhost database in the Ashford University Library. This study examined the effect of genetic influences underlying toddler low social motivation on mother–child and father–child hostility and the subsequent influence of parent hostility on disruptive peer behavior during the preschool period.</w:t>
      </w:r>
    </w:p>
    <w:p w:rsidR="00077598" w:rsidRDefault="00077598" w:rsidP="00077598">
      <w:pPr>
        <w:widowControl w:val="0"/>
        <w:autoSpaceDE w:val="0"/>
        <w:autoSpaceDN w:val="0"/>
        <w:adjustRightInd w:val="0"/>
        <w:spacing w:after="240"/>
        <w:rPr>
          <w:rFonts w:ascii="Times" w:hAnsi="Times" w:cs="Times"/>
        </w:rPr>
      </w:pPr>
      <w:r>
        <w:rPr>
          <w:rFonts w:ascii="Times" w:hAnsi="Times" w:cs="Times"/>
          <w:b/>
          <w:bCs/>
          <w:sz w:val="30"/>
          <w:szCs w:val="30"/>
        </w:rPr>
        <w:t>Psychological Testing and Assessment</w:t>
      </w:r>
    </w:p>
    <w:p w:rsidR="00077598" w:rsidRDefault="00077598" w:rsidP="00077598">
      <w:pPr>
        <w:widowControl w:val="0"/>
        <w:autoSpaceDE w:val="0"/>
        <w:autoSpaceDN w:val="0"/>
        <w:adjustRightInd w:val="0"/>
        <w:spacing w:after="240"/>
        <w:rPr>
          <w:rFonts w:ascii="Times" w:hAnsi="Times" w:cs="Times"/>
        </w:rPr>
      </w:pPr>
      <w:proofErr w:type="gramStart"/>
      <w:r>
        <w:rPr>
          <w:rFonts w:ascii="Times New Roman" w:hAnsi="Times New Roman" w:cs="Times New Roman"/>
          <w:sz w:val="30"/>
          <w:szCs w:val="30"/>
        </w:rPr>
        <w:t>van</w:t>
      </w:r>
      <w:proofErr w:type="gramEnd"/>
      <w:r>
        <w:rPr>
          <w:rFonts w:ascii="Times New Roman" w:hAnsi="Times New Roman" w:cs="Times New Roman"/>
          <w:sz w:val="30"/>
          <w:szCs w:val="30"/>
        </w:rPr>
        <w:t xml:space="preserve"> der Put, C. E., Stams, G. J. J. M. (2013). Youth Offender Care Needs Assessment Tool (YO-CNAT): An actuarial risk assessment tool for predicting problematic child-rearing situations in juvenile offenders on the basis of police records. </w:t>
      </w:r>
      <w:proofErr w:type="gramStart"/>
      <w:r>
        <w:rPr>
          <w:rFonts w:ascii="Times New Roman" w:hAnsi="Times New Roman" w:cs="Times New Roman"/>
          <w:sz w:val="30"/>
          <w:szCs w:val="30"/>
        </w:rPr>
        <w:t>Psychological Assessment, 25(4), 1167-1178.</w:t>
      </w:r>
      <w:proofErr w:type="gramEnd"/>
      <w:r>
        <w:rPr>
          <w:rFonts w:ascii="Times New Roman" w:hAnsi="Times New Roman" w:cs="Times New Roman"/>
          <w:sz w:val="30"/>
          <w:szCs w:val="30"/>
        </w:rPr>
        <w:t xml:space="preserve"> </w:t>
      </w:r>
      <w:proofErr w:type="gramStart"/>
      <w:r>
        <w:rPr>
          <w:rFonts w:ascii="Times New Roman" w:hAnsi="Times New Roman" w:cs="Times New Roman"/>
          <w:sz w:val="30"/>
          <w:szCs w:val="30"/>
        </w:rPr>
        <w:t>doi</w:t>
      </w:r>
      <w:proofErr w:type="gramEnd"/>
      <w:r>
        <w:rPr>
          <w:rFonts w:ascii="Times New Roman" w:hAnsi="Times New Roman" w:cs="Times New Roman"/>
          <w:sz w:val="30"/>
          <w:szCs w:val="30"/>
        </w:rPr>
        <w:t>: 10.1037/a0033453</w:t>
      </w:r>
    </w:p>
    <w:p w:rsidR="00077598" w:rsidRDefault="00077598" w:rsidP="00077598">
      <w:pPr>
        <w:widowControl w:val="0"/>
        <w:autoSpaceDE w:val="0"/>
        <w:autoSpaceDN w:val="0"/>
        <w:adjustRightInd w:val="0"/>
        <w:spacing w:after="240"/>
        <w:rPr>
          <w:rFonts w:ascii="Times" w:hAnsi="Times" w:cs="Times"/>
        </w:rPr>
      </w:pPr>
      <w:r>
        <w:rPr>
          <w:rFonts w:ascii="Times" w:hAnsi="Times" w:cs="Times"/>
          <w:sz w:val="32"/>
          <w:szCs w:val="32"/>
        </w:rPr>
        <w:t xml:space="preserve">• </w:t>
      </w:r>
      <w:proofErr w:type="gramStart"/>
      <w:r>
        <w:rPr>
          <w:rFonts w:ascii="Times New Roman" w:hAnsi="Times New Roman" w:cs="Times New Roman"/>
          <w:sz w:val="32"/>
          <w:szCs w:val="32"/>
        </w:rPr>
        <w:t>The</w:t>
      </w:r>
      <w:proofErr w:type="gramEnd"/>
      <w:r>
        <w:rPr>
          <w:rFonts w:ascii="Times New Roman" w:hAnsi="Times New Roman" w:cs="Times New Roman"/>
          <w:sz w:val="32"/>
          <w:szCs w:val="32"/>
        </w:rPr>
        <w:t xml:space="preserve"> full-text version of this article can be accessed through the EBSCOhost database in the Ashford University Library. Researchers developed an actuarial care needs assessment screening instrument for juvenile offenders, the Youth Offender Care Needs Assessment Tool (YO-CNAT), to predict the probability of a future supervision order imposed by the child welfare agency, a future entitlement to care indicated by the youth care agency, and future incidents involving child abuse, domestic violence, and/or sexual norm trespassing behavior at the juvenile’s address. This instrument was designed to assist a police officer without clinical expertise in making a quick assessment and decision to refer a juvenile offender to the youth care agency for further assessment.</w:t>
      </w:r>
    </w:p>
    <w:p w:rsidR="00077598" w:rsidRDefault="00077598" w:rsidP="00077598">
      <w:pPr>
        <w:widowControl w:val="0"/>
        <w:autoSpaceDE w:val="0"/>
        <w:autoSpaceDN w:val="0"/>
        <w:adjustRightInd w:val="0"/>
        <w:spacing w:after="240"/>
        <w:rPr>
          <w:rFonts w:ascii="Times" w:hAnsi="Times" w:cs="Times"/>
        </w:rPr>
      </w:pPr>
      <w:r>
        <w:rPr>
          <w:rFonts w:ascii="Times" w:hAnsi="Times" w:cs="Times"/>
          <w:b/>
          <w:bCs/>
          <w:sz w:val="30"/>
          <w:szCs w:val="30"/>
        </w:rPr>
        <w:t>Psychopathology</w:t>
      </w:r>
    </w:p>
    <w:p w:rsidR="00077598" w:rsidRDefault="00077598" w:rsidP="00077598">
      <w:pPr>
        <w:widowControl w:val="0"/>
        <w:autoSpaceDE w:val="0"/>
        <w:autoSpaceDN w:val="0"/>
        <w:adjustRightInd w:val="0"/>
        <w:spacing w:after="240"/>
        <w:rPr>
          <w:rFonts w:ascii="Times" w:hAnsi="Times" w:cs="Times"/>
        </w:rPr>
      </w:pPr>
      <w:r>
        <w:rPr>
          <w:rFonts w:ascii="Times New Roman" w:hAnsi="Times New Roman" w:cs="Times New Roman"/>
          <w:sz w:val="30"/>
          <w:szCs w:val="30"/>
        </w:rPr>
        <w:t xml:space="preserve">Resick, P. A., Bovin, M. J., Calloway, A. L., Dick, A. M., King, M. W., Mitchell, K. S., &amp; ... Wolf, E. J. (2012). A critical evaluation of the complex PTSD literature: Implications for DSM-5. </w:t>
      </w:r>
      <w:proofErr w:type="gramStart"/>
      <w:r>
        <w:rPr>
          <w:rFonts w:ascii="Times New Roman" w:hAnsi="Times New Roman" w:cs="Times New Roman"/>
          <w:sz w:val="30"/>
          <w:szCs w:val="30"/>
        </w:rPr>
        <w:t>Journal of Traumatic Stress, 25(3), 241-251.</w:t>
      </w:r>
      <w:proofErr w:type="gramEnd"/>
      <w:r>
        <w:rPr>
          <w:rFonts w:ascii="Times New Roman" w:hAnsi="Times New Roman" w:cs="Times New Roman"/>
          <w:sz w:val="30"/>
          <w:szCs w:val="30"/>
        </w:rPr>
        <w:t xml:space="preserve"> </w:t>
      </w:r>
      <w:proofErr w:type="gramStart"/>
      <w:r>
        <w:rPr>
          <w:rFonts w:ascii="Times New Roman" w:hAnsi="Times New Roman" w:cs="Times New Roman"/>
          <w:sz w:val="30"/>
          <w:szCs w:val="30"/>
        </w:rPr>
        <w:t>doi:10.1002</w:t>
      </w:r>
      <w:proofErr w:type="gramEnd"/>
      <w:r>
        <w:rPr>
          <w:rFonts w:ascii="Times New Roman" w:hAnsi="Times New Roman" w:cs="Times New Roman"/>
          <w:sz w:val="30"/>
          <w:szCs w:val="30"/>
        </w:rPr>
        <w:t>/jts.21699</w:t>
      </w:r>
    </w:p>
    <w:p w:rsidR="00077598" w:rsidRDefault="00077598" w:rsidP="00077598">
      <w:pPr>
        <w:widowControl w:val="0"/>
        <w:autoSpaceDE w:val="0"/>
        <w:autoSpaceDN w:val="0"/>
        <w:adjustRightInd w:val="0"/>
        <w:spacing w:after="240"/>
        <w:rPr>
          <w:rFonts w:ascii="Times" w:hAnsi="Times" w:cs="Times"/>
        </w:rPr>
      </w:pPr>
      <w:r>
        <w:rPr>
          <w:rFonts w:ascii="Times" w:hAnsi="Times" w:cs="Times"/>
          <w:sz w:val="32"/>
          <w:szCs w:val="32"/>
        </w:rPr>
        <w:t xml:space="preserve">• </w:t>
      </w:r>
      <w:proofErr w:type="gramStart"/>
      <w:r>
        <w:rPr>
          <w:rFonts w:ascii="Times New Roman" w:hAnsi="Times New Roman" w:cs="Times New Roman"/>
          <w:sz w:val="32"/>
          <w:szCs w:val="32"/>
        </w:rPr>
        <w:t>The</w:t>
      </w:r>
      <w:proofErr w:type="gramEnd"/>
      <w:r>
        <w:rPr>
          <w:rFonts w:ascii="Times New Roman" w:hAnsi="Times New Roman" w:cs="Times New Roman"/>
          <w:sz w:val="32"/>
          <w:szCs w:val="32"/>
        </w:rPr>
        <w:t xml:space="preserve"> full-text version of this article can be accessed through the EBSCOhost database in the Ashford University Library. Researchers conduct a critical evaluation of the literature on complex posttraumatic stress disorder within the framework of construct validity to evaluate diagnosis criteria.</w:t>
      </w:r>
    </w:p>
    <w:p w:rsidR="00077598" w:rsidRDefault="00077598" w:rsidP="00077598">
      <w:pPr>
        <w:widowControl w:val="0"/>
        <w:autoSpaceDE w:val="0"/>
        <w:autoSpaceDN w:val="0"/>
        <w:adjustRightInd w:val="0"/>
        <w:spacing w:after="240"/>
        <w:rPr>
          <w:rFonts w:ascii="Times" w:hAnsi="Times" w:cs="Times"/>
        </w:rPr>
      </w:pPr>
      <w:r>
        <w:rPr>
          <w:rFonts w:ascii="Times" w:hAnsi="Times" w:cs="Times"/>
          <w:b/>
          <w:bCs/>
          <w:sz w:val="30"/>
          <w:szCs w:val="30"/>
        </w:rPr>
        <w:t>Clinical &amp; Counseling Psychology</w:t>
      </w:r>
    </w:p>
    <w:p w:rsidR="00077598" w:rsidRDefault="00077598" w:rsidP="00077598">
      <w:pPr>
        <w:widowControl w:val="0"/>
        <w:autoSpaceDE w:val="0"/>
        <w:autoSpaceDN w:val="0"/>
        <w:adjustRightInd w:val="0"/>
        <w:spacing w:after="240"/>
        <w:rPr>
          <w:rFonts w:ascii="Times" w:hAnsi="Times" w:cs="Times"/>
        </w:rPr>
      </w:pPr>
      <w:r>
        <w:rPr>
          <w:rFonts w:ascii="Times New Roman" w:hAnsi="Times New Roman" w:cs="Times New Roman"/>
          <w:sz w:val="30"/>
          <w:szCs w:val="30"/>
        </w:rPr>
        <w:t xml:space="preserve">Neimeyer, G. J., Taylor, J. M., Wear, D. M., &amp; Buyukgoze-Kavas, A. (2011). How special are the specialties? </w:t>
      </w:r>
      <w:proofErr w:type="gramStart"/>
      <w:r>
        <w:rPr>
          <w:rFonts w:ascii="Times New Roman" w:hAnsi="Times New Roman" w:cs="Times New Roman"/>
          <w:sz w:val="30"/>
          <w:szCs w:val="30"/>
        </w:rPr>
        <w:t>Workplace settings in counseling and clinical psychology in the United States.</w:t>
      </w:r>
      <w:proofErr w:type="gramEnd"/>
      <w:r>
        <w:rPr>
          <w:rFonts w:ascii="Times New Roman" w:hAnsi="Times New Roman" w:cs="Times New Roman"/>
          <w:sz w:val="30"/>
          <w:szCs w:val="30"/>
        </w:rPr>
        <w:t xml:space="preserve"> Counseling Psychology Quarterly, 24(1), 43-53. </w:t>
      </w:r>
      <w:proofErr w:type="gramStart"/>
      <w:r>
        <w:rPr>
          <w:rFonts w:ascii="Times New Roman" w:hAnsi="Times New Roman" w:cs="Times New Roman"/>
          <w:sz w:val="30"/>
          <w:szCs w:val="30"/>
        </w:rPr>
        <w:t>doi:10.1080</w:t>
      </w:r>
      <w:proofErr w:type="gramEnd"/>
      <w:r>
        <w:rPr>
          <w:rFonts w:ascii="Times New Roman" w:hAnsi="Times New Roman" w:cs="Times New Roman"/>
          <w:sz w:val="30"/>
          <w:szCs w:val="30"/>
        </w:rPr>
        <w:t>/09515070.2011.558343</w:t>
      </w:r>
    </w:p>
    <w:p w:rsidR="00077598" w:rsidRDefault="00077598" w:rsidP="00077598">
      <w:pPr>
        <w:widowControl w:val="0"/>
        <w:autoSpaceDE w:val="0"/>
        <w:autoSpaceDN w:val="0"/>
        <w:adjustRightInd w:val="0"/>
        <w:spacing w:after="240"/>
        <w:rPr>
          <w:rFonts w:ascii="Times" w:hAnsi="Times" w:cs="Times"/>
        </w:rPr>
      </w:pPr>
      <w:r>
        <w:rPr>
          <w:rFonts w:ascii="Times" w:hAnsi="Times" w:cs="Times"/>
          <w:sz w:val="32"/>
          <w:szCs w:val="32"/>
        </w:rPr>
        <w:t xml:space="preserve">• </w:t>
      </w:r>
      <w:proofErr w:type="gramStart"/>
      <w:r>
        <w:rPr>
          <w:rFonts w:ascii="Times New Roman" w:hAnsi="Times New Roman" w:cs="Times New Roman"/>
          <w:sz w:val="32"/>
          <w:szCs w:val="32"/>
        </w:rPr>
        <w:t>The</w:t>
      </w:r>
      <w:proofErr w:type="gramEnd"/>
      <w:r>
        <w:rPr>
          <w:rFonts w:ascii="Times New Roman" w:hAnsi="Times New Roman" w:cs="Times New Roman"/>
          <w:sz w:val="32"/>
          <w:szCs w:val="32"/>
        </w:rPr>
        <w:t xml:space="preserve"> full-text version of this article can be accessed through the EBSCOhost database in the Ashford University Library. This study examined the similarities and differences between clinical and counseling workplace settings during early-, mid-, and late-career phases to explore the distinctiveness of the two specialties.</w:t>
      </w:r>
    </w:p>
    <w:p w:rsidR="002E4374" w:rsidRDefault="002E4374">
      <w:bookmarkStart w:id="0" w:name="_GoBack"/>
      <w:bookmarkEnd w:id="0"/>
    </w:p>
    <w:sectPr w:rsidR="002E4374" w:rsidSect="007113FB">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7598"/>
    <w:rsid w:val="00077598"/>
    <w:rsid w:val="002B42C8"/>
    <w:rsid w:val="002E43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2276B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783</Words>
  <Characters>4464</Characters>
  <Application>Microsoft Macintosh Word</Application>
  <DocSecurity>0</DocSecurity>
  <Lines>37</Lines>
  <Paragraphs>10</Paragraphs>
  <ScaleCrop>false</ScaleCrop>
  <Company>jasmine</Company>
  <LinksUpToDate>false</LinksUpToDate>
  <CharactersWithSpaces>5237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barbusca</dc:creator>
  <cp:keywords/>
  <dc:description/>
  <cp:lastModifiedBy>mike barbusca</cp:lastModifiedBy>
  <cp:revision>1</cp:revision>
  <dcterms:created xsi:type="dcterms:W3CDTF">2018-03-12T04:36:00Z</dcterms:created>
  <dcterms:modified xsi:type="dcterms:W3CDTF">2018-03-12T04:37:00Z</dcterms:modified>
</cp:coreProperties>
</file>