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928" w:rsidRPr="005434BA" w:rsidRDefault="007D7928" w:rsidP="007D7928">
      <w:pPr>
        <w:spacing w:after="0" w:line="360" w:lineRule="auto"/>
        <w:ind w:left="567" w:hanging="567"/>
        <w:rPr>
          <w:rFonts w:ascii="Arial" w:eastAsia="+mn-ea" w:hAnsi="Arial" w:cs="Arial"/>
          <w:color w:val="46464A"/>
          <w:spacing w:val="30"/>
          <w:kern w:val="24"/>
          <w:sz w:val="24"/>
          <w:szCs w:val="24"/>
          <w:lang w:eastAsia="en-CA"/>
        </w:rPr>
      </w:pPr>
      <w:bookmarkStart w:id="0" w:name="_Hlk522994782"/>
      <w:r>
        <w:rPr>
          <w:rFonts w:ascii="Arial" w:eastAsia="+mn-ea" w:hAnsi="Arial" w:cs="Arial"/>
          <w:color w:val="46464A"/>
          <w:spacing w:val="30"/>
          <w:kern w:val="24"/>
          <w:sz w:val="24"/>
          <w:szCs w:val="24"/>
          <w:lang w:eastAsia="en-CA"/>
        </w:rPr>
        <w:t>Report Requirements</w:t>
      </w:r>
    </w:p>
    <w:p w:rsidR="007D7928" w:rsidRPr="008F574A" w:rsidRDefault="007D7928" w:rsidP="007D7928">
      <w:pPr>
        <w:pStyle w:val="ListParagraph"/>
        <w:numPr>
          <w:ilvl w:val="0"/>
          <w:numId w:val="4"/>
        </w:numPr>
        <w:spacing w:after="0" w:line="360" w:lineRule="auto"/>
        <w:rPr>
          <w:rFonts w:ascii="Arial" w:hAnsi="Arial" w:cs="Arial"/>
          <w:szCs w:val="24"/>
          <w:lang w:eastAsia="en-CA"/>
        </w:rPr>
      </w:pPr>
      <w:r w:rsidRPr="008F574A">
        <w:rPr>
          <w:rFonts w:ascii="Arial" w:hAnsi="Arial" w:cs="Arial"/>
          <w:szCs w:val="24"/>
          <w:lang w:eastAsia="en-CA"/>
        </w:rPr>
        <w:t>8 ½ x 11, 1.5 space, 1” margins, Arial 12pt or equivalent.</w:t>
      </w:r>
    </w:p>
    <w:p w:rsidR="007D7928" w:rsidRPr="008F574A" w:rsidRDefault="007D7928" w:rsidP="007D7928">
      <w:pPr>
        <w:pStyle w:val="ListParagraph"/>
        <w:numPr>
          <w:ilvl w:val="0"/>
          <w:numId w:val="4"/>
        </w:numPr>
        <w:spacing w:after="0" w:line="360" w:lineRule="auto"/>
        <w:rPr>
          <w:rFonts w:ascii="Arial" w:eastAsia="Times New Roman" w:hAnsi="Arial" w:cs="Arial"/>
          <w:color w:val="6F6F74"/>
          <w:szCs w:val="24"/>
          <w:lang w:eastAsia="en-CA"/>
        </w:rPr>
      </w:pPr>
      <w:r>
        <w:rPr>
          <w:rFonts w:ascii="Arial" w:hAnsi="Arial" w:cs="Arial"/>
          <w:szCs w:val="24"/>
          <w:lang w:eastAsia="en-CA"/>
        </w:rPr>
        <w:t>4-6</w:t>
      </w:r>
      <w:r w:rsidRPr="008F574A">
        <w:rPr>
          <w:rFonts w:ascii="Arial" w:hAnsi="Arial" w:cs="Arial"/>
          <w:szCs w:val="24"/>
          <w:lang w:eastAsia="en-CA"/>
        </w:rPr>
        <w:t xml:space="preserve"> pages</w:t>
      </w:r>
      <w:r>
        <w:rPr>
          <w:rFonts w:ascii="Arial" w:hAnsi="Arial" w:cs="Arial"/>
          <w:szCs w:val="24"/>
          <w:lang w:eastAsia="en-CA"/>
        </w:rPr>
        <w:t xml:space="preserve"> of content (N</w:t>
      </w:r>
      <w:r w:rsidRPr="008F574A">
        <w:rPr>
          <w:rFonts w:ascii="Arial" w:hAnsi="Arial" w:cs="Arial"/>
          <w:szCs w:val="24"/>
          <w:lang w:eastAsia="en-CA"/>
        </w:rPr>
        <w:t>ot including</w:t>
      </w:r>
      <w:r>
        <w:rPr>
          <w:rFonts w:ascii="Arial" w:hAnsi="Arial" w:cs="Arial"/>
          <w:szCs w:val="24"/>
          <w:lang w:eastAsia="en-CA"/>
        </w:rPr>
        <w:t xml:space="preserve"> table of contents, bibliography or </w:t>
      </w:r>
      <w:r w:rsidRPr="008F574A">
        <w:rPr>
          <w:rFonts w:ascii="Arial" w:hAnsi="Arial" w:cs="Arial"/>
          <w:szCs w:val="24"/>
          <w:lang w:eastAsia="en-CA"/>
        </w:rPr>
        <w:t>appendices</w:t>
      </w:r>
      <w:r>
        <w:rPr>
          <w:rFonts w:ascii="Arial" w:hAnsi="Arial" w:cs="Arial"/>
          <w:szCs w:val="24"/>
          <w:lang w:eastAsia="en-CA"/>
        </w:rPr>
        <w:t>)</w:t>
      </w:r>
      <w:r w:rsidRPr="008F574A">
        <w:rPr>
          <w:rFonts w:ascii="Arial" w:hAnsi="Arial" w:cs="Arial"/>
          <w:szCs w:val="24"/>
          <w:lang w:eastAsia="en-CA"/>
        </w:rPr>
        <w:t>.</w:t>
      </w:r>
    </w:p>
    <w:p w:rsidR="007D7928" w:rsidRPr="008F574A" w:rsidRDefault="007D7928" w:rsidP="007D7928">
      <w:pPr>
        <w:pStyle w:val="ListParagraph"/>
        <w:numPr>
          <w:ilvl w:val="0"/>
          <w:numId w:val="4"/>
        </w:numPr>
        <w:spacing w:after="0" w:line="360" w:lineRule="auto"/>
        <w:rPr>
          <w:rFonts w:ascii="Arial" w:hAnsi="Arial" w:cs="Arial"/>
          <w:szCs w:val="24"/>
          <w:lang w:val="en-US"/>
        </w:rPr>
      </w:pPr>
      <w:r w:rsidRPr="008F574A">
        <w:rPr>
          <w:rFonts w:ascii="Arial" w:hAnsi="Arial" w:cs="Arial"/>
          <w:szCs w:val="24"/>
          <w:u w:val="single"/>
          <w:lang w:val="en-US"/>
        </w:rPr>
        <w:t>Complete sentences/complete thoughts</w:t>
      </w:r>
      <w:r w:rsidRPr="008F574A">
        <w:rPr>
          <w:rFonts w:ascii="Arial" w:hAnsi="Arial" w:cs="Arial"/>
          <w:szCs w:val="24"/>
          <w:lang w:val="en-US"/>
        </w:rPr>
        <w:t xml:space="preserve"> in bullet form or paragraphs.</w:t>
      </w:r>
    </w:p>
    <w:p w:rsidR="007D7928" w:rsidRPr="007D7928" w:rsidRDefault="007D7928" w:rsidP="007D7928">
      <w:pPr>
        <w:pStyle w:val="ListParagraph"/>
        <w:numPr>
          <w:ilvl w:val="0"/>
          <w:numId w:val="4"/>
        </w:numPr>
        <w:spacing w:after="0" w:line="360" w:lineRule="auto"/>
        <w:rPr>
          <w:rFonts w:ascii="Arial" w:hAnsi="Arial" w:cs="Arial"/>
          <w:szCs w:val="24"/>
          <w:lang w:val="en-US"/>
        </w:rPr>
      </w:pPr>
      <w:r w:rsidRPr="008F574A">
        <w:rPr>
          <w:rFonts w:ascii="Arial" w:hAnsi="Arial" w:cs="Arial"/>
          <w:szCs w:val="24"/>
          <w:lang w:val="en-US"/>
        </w:rPr>
        <w:t xml:space="preserve">Must be </w:t>
      </w:r>
      <w:r w:rsidRPr="008F574A">
        <w:rPr>
          <w:rFonts w:ascii="Arial" w:hAnsi="Arial" w:cs="Arial"/>
          <w:szCs w:val="24"/>
          <w:u w:val="single"/>
          <w:lang w:val="en-US"/>
        </w:rPr>
        <w:t>YOUR</w:t>
      </w:r>
      <w:r w:rsidRPr="008F574A">
        <w:rPr>
          <w:rFonts w:ascii="Arial" w:hAnsi="Arial" w:cs="Arial"/>
          <w:szCs w:val="24"/>
          <w:lang w:val="en-US"/>
        </w:rPr>
        <w:t xml:space="preserve"> work.</w:t>
      </w:r>
    </w:p>
    <w:p w:rsidR="007D7928" w:rsidRPr="008F574A" w:rsidRDefault="007D7928" w:rsidP="007D7928">
      <w:pPr>
        <w:pStyle w:val="ListParagraph"/>
        <w:numPr>
          <w:ilvl w:val="0"/>
          <w:numId w:val="4"/>
        </w:numPr>
        <w:spacing w:after="0" w:line="360" w:lineRule="auto"/>
        <w:rPr>
          <w:rFonts w:ascii="Arial" w:hAnsi="Arial" w:cs="Arial"/>
          <w:szCs w:val="24"/>
          <w:lang w:val="en-US"/>
        </w:rPr>
      </w:pPr>
      <w:r w:rsidRPr="008F574A">
        <w:rPr>
          <w:rFonts w:ascii="Arial" w:hAnsi="Arial" w:cs="Arial"/>
          <w:szCs w:val="24"/>
          <w:lang w:val="en-US"/>
        </w:rPr>
        <w:t xml:space="preserve">Must use at least </w:t>
      </w:r>
      <w:r w:rsidRPr="00211A30">
        <w:rPr>
          <w:rFonts w:ascii="Arial" w:hAnsi="Arial" w:cs="Arial"/>
          <w:b/>
          <w:szCs w:val="24"/>
          <w:u w:val="single"/>
          <w:lang w:val="en-US"/>
        </w:rPr>
        <w:t>5 sources</w:t>
      </w:r>
      <w:r w:rsidRPr="008F574A">
        <w:rPr>
          <w:rFonts w:ascii="Arial" w:hAnsi="Arial" w:cs="Arial"/>
          <w:szCs w:val="24"/>
          <w:lang w:val="en-US"/>
        </w:rPr>
        <w:t xml:space="preserve"> other than the course material (lecture slides) and</w:t>
      </w:r>
      <w:r>
        <w:rPr>
          <w:rFonts w:ascii="Arial" w:hAnsi="Arial" w:cs="Arial"/>
          <w:szCs w:val="24"/>
          <w:lang w:val="en-US"/>
        </w:rPr>
        <w:t xml:space="preserve"> the</w:t>
      </w:r>
      <w:r w:rsidRPr="00F10B55">
        <w:rPr>
          <w:rFonts w:ascii="Arial" w:hAnsi="Arial" w:cs="Arial"/>
          <w:b/>
          <w:szCs w:val="24"/>
          <w:lang w:val="en-US"/>
        </w:rPr>
        <w:t>court case</w:t>
      </w:r>
      <w:r w:rsidRPr="007C0126">
        <w:rPr>
          <w:rFonts w:ascii="Arial" w:hAnsi="Arial" w:cs="Arial"/>
          <w:szCs w:val="24"/>
          <w:lang w:val="en-US"/>
        </w:rPr>
        <w:t>(you must still cite the court case</w:t>
      </w:r>
      <w:r>
        <w:rPr>
          <w:rFonts w:ascii="Arial" w:hAnsi="Arial" w:cs="Arial"/>
          <w:szCs w:val="24"/>
          <w:lang w:val="en-US"/>
        </w:rPr>
        <w:t xml:space="preserve"> if using as a reference</w:t>
      </w:r>
      <w:r w:rsidRPr="007C0126">
        <w:rPr>
          <w:rFonts w:ascii="Arial" w:hAnsi="Arial" w:cs="Arial"/>
          <w:szCs w:val="24"/>
          <w:lang w:val="en-US"/>
        </w:rPr>
        <w:t>).</w:t>
      </w:r>
    </w:p>
    <w:p w:rsidR="007D7928" w:rsidRDefault="007D7928" w:rsidP="007D7928">
      <w:pPr>
        <w:pStyle w:val="ListParagraph"/>
        <w:numPr>
          <w:ilvl w:val="0"/>
          <w:numId w:val="4"/>
        </w:numPr>
        <w:spacing w:after="0" w:line="360" w:lineRule="auto"/>
        <w:rPr>
          <w:rFonts w:ascii="Arial" w:hAnsi="Arial" w:cs="Arial"/>
          <w:szCs w:val="24"/>
          <w:lang w:val="en-US"/>
        </w:rPr>
      </w:pPr>
      <w:r w:rsidRPr="00073308">
        <w:rPr>
          <w:rFonts w:ascii="Arial" w:hAnsi="Arial" w:cs="Arial"/>
          <w:szCs w:val="24"/>
          <w:lang w:val="en-US"/>
        </w:rPr>
        <w:t>References must be provided for all sources, both imbedded within the text of the paper (e.g. Smith, 1987) and within an APA formatted Bibliography.</w:t>
      </w:r>
      <w:bookmarkEnd w:id="0"/>
    </w:p>
    <w:p w:rsidR="007D7928" w:rsidRDefault="007D7928" w:rsidP="007D7928">
      <w:pPr>
        <w:pStyle w:val="ListParagraph"/>
        <w:spacing w:after="0" w:line="360" w:lineRule="auto"/>
        <w:rPr>
          <w:rFonts w:ascii="Arial" w:hAnsi="Arial" w:cs="Arial"/>
          <w:szCs w:val="24"/>
          <w:lang w:val="en-US"/>
        </w:rPr>
      </w:pPr>
    </w:p>
    <w:p w:rsidR="007D7928" w:rsidRDefault="007D7928" w:rsidP="007D7928">
      <w:pPr>
        <w:pStyle w:val="ListParagraph"/>
        <w:spacing w:after="0" w:line="360" w:lineRule="auto"/>
        <w:rPr>
          <w:rFonts w:ascii="Arial" w:hAnsi="Arial" w:cs="Arial"/>
          <w:szCs w:val="24"/>
          <w:lang w:val="en-US"/>
        </w:rPr>
      </w:pPr>
    </w:p>
    <w:p w:rsidR="007D7928" w:rsidRPr="00073308" w:rsidRDefault="007D7928" w:rsidP="007D7928">
      <w:pPr>
        <w:spacing w:after="0" w:line="360" w:lineRule="auto"/>
        <w:rPr>
          <w:rFonts w:ascii="Arial" w:eastAsia="+mn-ea" w:hAnsi="Arial" w:cs="Arial"/>
          <w:color w:val="46464A"/>
          <w:spacing w:val="30"/>
          <w:kern w:val="24"/>
          <w:sz w:val="24"/>
          <w:szCs w:val="24"/>
          <w:lang w:eastAsia="en-CA"/>
        </w:rPr>
      </w:pPr>
      <w:r>
        <w:rPr>
          <w:rFonts w:ascii="Arial" w:eastAsia="+mn-ea" w:hAnsi="Arial" w:cs="Arial"/>
          <w:color w:val="46464A"/>
          <w:spacing w:val="30"/>
          <w:kern w:val="24"/>
          <w:sz w:val="24"/>
          <w:szCs w:val="24"/>
          <w:lang w:eastAsia="en-CA"/>
        </w:rPr>
        <w:t xml:space="preserve">The Assignement </w:t>
      </w:r>
    </w:p>
    <w:p w:rsidR="007D7928" w:rsidRDefault="007D7928" w:rsidP="007D7928">
      <w:pPr>
        <w:pStyle w:val="ListParagraph"/>
        <w:numPr>
          <w:ilvl w:val="0"/>
          <w:numId w:val="4"/>
        </w:numPr>
        <w:spacing w:after="0" w:line="360" w:lineRule="auto"/>
        <w:rPr>
          <w:rFonts w:ascii="Arial" w:hAnsi="Arial" w:cs="Arial"/>
          <w:szCs w:val="24"/>
          <w:lang w:val="en-US"/>
        </w:rPr>
      </w:pPr>
      <w:r>
        <w:rPr>
          <w:rFonts w:ascii="Arial" w:hAnsi="Arial" w:cs="Arial"/>
          <w:szCs w:val="24"/>
          <w:lang w:val="en-US"/>
        </w:rPr>
        <w:t>Value is 15% of your overall grade</w:t>
      </w:r>
    </w:p>
    <w:p w:rsidR="007D7928" w:rsidRPr="008F574A" w:rsidRDefault="007D7928" w:rsidP="007D7928">
      <w:pPr>
        <w:pStyle w:val="ListParagraph"/>
        <w:numPr>
          <w:ilvl w:val="0"/>
          <w:numId w:val="4"/>
        </w:numPr>
        <w:spacing w:after="0" w:line="360" w:lineRule="auto"/>
        <w:rPr>
          <w:rFonts w:ascii="Arial" w:hAnsi="Arial" w:cs="Arial"/>
          <w:szCs w:val="24"/>
          <w:lang w:val="en-US"/>
        </w:rPr>
      </w:pPr>
      <w:r>
        <w:rPr>
          <w:rFonts w:ascii="Arial" w:hAnsi="Arial" w:cs="Arial"/>
          <w:szCs w:val="24"/>
          <w:lang w:val="en-US"/>
        </w:rPr>
        <w:t xml:space="preserve">Analyze the Supreme Court of CanadaCase- </w:t>
      </w:r>
      <w:r w:rsidRPr="008F574A">
        <w:rPr>
          <w:rFonts w:ascii="Arial" w:hAnsi="Arial" w:cs="Arial"/>
          <w:color w:val="333333"/>
          <w:szCs w:val="24"/>
          <w:shd w:val="clear" w:color="auto" w:fill="FFFFFF"/>
        </w:rPr>
        <w:t>The Queen (Ont.) v. Ron Engineering, [1981] 1 SCR 111, 1981 CanLII 17 (SCC), &lt;</w:t>
      </w:r>
      <w:hyperlink r:id="rId7" w:history="1">
        <w:r w:rsidRPr="008F574A">
          <w:rPr>
            <w:rStyle w:val="Hyperlink"/>
            <w:rFonts w:ascii="Arial" w:hAnsi="Arial" w:cs="Arial"/>
            <w:color w:val="027ABB"/>
            <w:szCs w:val="24"/>
            <w:shd w:val="clear" w:color="auto" w:fill="FFFFFF"/>
          </w:rPr>
          <w:t>http://canlii.ca/t/1lpk8</w:t>
        </w:r>
      </w:hyperlink>
      <w:r w:rsidRPr="008F574A">
        <w:rPr>
          <w:rFonts w:ascii="Arial" w:hAnsi="Arial" w:cs="Arial"/>
          <w:color w:val="333333"/>
          <w:szCs w:val="24"/>
          <w:shd w:val="clear" w:color="auto" w:fill="FFFFFF"/>
        </w:rPr>
        <w:t>&gt;</w:t>
      </w:r>
      <w:r>
        <w:rPr>
          <w:rFonts w:ascii="Arial" w:hAnsi="Arial" w:cs="Arial"/>
          <w:szCs w:val="24"/>
          <w:lang w:val="en-US"/>
        </w:rPr>
        <w:t xml:space="preserve">- and it’s impact. </w:t>
      </w:r>
    </w:p>
    <w:p w:rsidR="007D7928" w:rsidRPr="008F574A" w:rsidRDefault="007D7928" w:rsidP="007D7928">
      <w:pPr>
        <w:pStyle w:val="ListParagraph"/>
        <w:numPr>
          <w:ilvl w:val="0"/>
          <w:numId w:val="4"/>
        </w:numPr>
        <w:shd w:val="clear" w:color="auto" w:fill="FFFFFF"/>
        <w:spacing w:before="150" w:after="0" w:line="360" w:lineRule="auto"/>
        <w:rPr>
          <w:rFonts w:ascii="Arial" w:hAnsi="Arial" w:cs="Arial"/>
          <w:b/>
          <w:szCs w:val="24"/>
          <w:lang w:val="en-US"/>
        </w:rPr>
      </w:pPr>
      <w:r>
        <w:rPr>
          <w:rFonts w:ascii="Arial" w:hAnsi="Arial" w:cs="Arial"/>
          <w:b/>
          <w:szCs w:val="24"/>
          <w:lang w:val="en-US"/>
        </w:rPr>
        <w:t>Your report must include the following</w:t>
      </w:r>
      <w:r w:rsidRPr="008F574A">
        <w:rPr>
          <w:rFonts w:ascii="Arial" w:hAnsi="Arial" w:cs="Arial"/>
          <w:szCs w:val="24"/>
          <w:lang w:val="en-US"/>
        </w:rPr>
        <w:t xml:space="preserve">elements separately and sequentially </w:t>
      </w:r>
      <w:r>
        <w:rPr>
          <w:rFonts w:ascii="Arial" w:eastAsia="Times New Roman" w:hAnsi="Arial" w:cs="Arial"/>
          <w:color w:val="333333"/>
          <w:kern w:val="36"/>
          <w:szCs w:val="24"/>
          <w:lang w:eastAsia="en-CA"/>
        </w:rPr>
        <w:br/>
      </w:r>
    </w:p>
    <w:p w:rsidR="007D7928" w:rsidRDefault="007D7928" w:rsidP="007D7928">
      <w:pPr>
        <w:pStyle w:val="ListParagraph"/>
        <w:numPr>
          <w:ilvl w:val="0"/>
          <w:numId w:val="3"/>
        </w:numPr>
        <w:tabs>
          <w:tab w:val="left" w:pos="1440"/>
        </w:tabs>
        <w:spacing w:after="0" w:line="360" w:lineRule="auto"/>
        <w:ind w:left="1287" w:hanging="567"/>
        <w:rPr>
          <w:rFonts w:ascii="Arial" w:hAnsi="Arial" w:cs="Arial"/>
          <w:szCs w:val="24"/>
          <w:u w:val="single"/>
          <w:lang w:val="en-US"/>
        </w:rPr>
      </w:pPr>
      <w:bookmarkStart w:id="1" w:name="_Hlk19434726"/>
      <w:r>
        <w:rPr>
          <w:rFonts w:ascii="Arial" w:hAnsi="Arial" w:cs="Arial"/>
          <w:szCs w:val="24"/>
          <w:u w:val="single"/>
          <w:lang w:val="en-US"/>
        </w:rPr>
        <w:t xml:space="preserve">Background </w:t>
      </w:r>
      <w:r>
        <w:rPr>
          <w:rFonts w:ascii="Arial" w:hAnsi="Arial" w:cs="Arial"/>
          <w:szCs w:val="24"/>
          <w:u w:val="single"/>
          <w:lang w:val="en-US"/>
        </w:rPr>
        <w:br/>
      </w:r>
      <w:r w:rsidRPr="007C0126">
        <w:rPr>
          <w:rFonts w:ascii="Arial" w:hAnsi="Arial" w:cs="Arial"/>
          <w:szCs w:val="24"/>
          <w:lang w:val="en-US"/>
        </w:rPr>
        <w:t>Pro</w:t>
      </w:r>
      <w:r>
        <w:rPr>
          <w:rFonts w:ascii="Arial" w:hAnsi="Arial" w:cs="Arial"/>
          <w:szCs w:val="24"/>
          <w:lang w:val="en-US"/>
        </w:rPr>
        <w:t>vide a description of what happened between Ron Engineering and the Government of Ontario that lead to the court case</w:t>
      </w:r>
      <w:r>
        <w:rPr>
          <w:rFonts w:ascii="Arial" w:hAnsi="Arial" w:cs="Arial"/>
          <w:szCs w:val="24"/>
          <w:lang w:val="en-US"/>
        </w:rPr>
        <w:br/>
      </w:r>
    </w:p>
    <w:p w:rsidR="007D7928" w:rsidRPr="003B4378" w:rsidRDefault="007D7928" w:rsidP="007D7928">
      <w:pPr>
        <w:pStyle w:val="ListParagraph"/>
        <w:numPr>
          <w:ilvl w:val="0"/>
          <w:numId w:val="3"/>
        </w:numPr>
        <w:tabs>
          <w:tab w:val="left" w:pos="1440"/>
        </w:tabs>
        <w:spacing w:after="0" w:line="360" w:lineRule="auto"/>
        <w:ind w:left="1287" w:hanging="567"/>
        <w:rPr>
          <w:rFonts w:ascii="Arial" w:hAnsi="Arial" w:cs="Arial"/>
          <w:szCs w:val="24"/>
          <w:u w:val="single"/>
          <w:lang w:val="en-US"/>
        </w:rPr>
      </w:pPr>
      <w:r>
        <w:rPr>
          <w:rFonts w:ascii="Arial" w:hAnsi="Arial" w:cs="Arial"/>
          <w:szCs w:val="24"/>
          <w:u w:val="single"/>
          <w:lang w:val="en-US"/>
        </w:rPr>
        <w:t>Ron Engineering’s (</w:t>
      </w:r>
      <w:r w:rsidRPr="008F574A">
        <w:rPr>
          <w:rFonts w:ascii="Arial" w:hAnsi="Arial" w:cs="Arial"/>
          <w:szCs w:val="24"/>
          <w:u w:val="single"/>
          <w:lang w:val="en-US"/>
        </w:rPr>
        <w:t xml:space="preserve">The </w:t>
      </w:r>
      <w:r>
        <w:rPr>
          <w:rFonts w:ascii="Arial" w:hAnsi="Arial" w:cs="Arial"/>
          <w:szCs w:val="24"/>
          <w:u w:val="single"/>
          <w:lang w:val="en-US"/>
        </w:rPr>
        <w:t>Plaintiff)</w:t>
      </w:r>
      <w:r w:rsidRPr="008F574A">
        <w:rPr>
          <w:rFonts w:ascii="Arial" w:hAnsi="Arial" w:cs="Arial"/>
          <w:szCs w:val="24"/>
          <w:u w:val="single"/>
          <w:lang w:val="en-US"/>
        </w:rPr>
        <w:t xml:space="preserve"> Position</w:t>
      </w:r>
      <w:r>
        <w:rPr>
          <w:rFonts w:ascii="Microsoft YaHei" w:eastAsia="Microsoft YaHei" w:hAnsi="Microsoft YaHei" w:cs="Microsoft YaHei" w:hint="eastAsia"/>
          <w:szCs w:val="24"/>
          <w:u w:val="single"/>
          <w:lang w:val="en-US" w:eastAsia="zh-CN"/>
        </w:rPr>
        <w:t>（discussissueo</w:t>
      </w:r>
      <w:r>
        <w:rPr>
          <w:rFonts w:ascii="Microsoft YaHei" w:eastAsia="Microsoft YaHei" w:hAnsi="Microsoft YaHei" w:cs="Microsoft YaHei"/>
          <w:szCs w:val="24"/>
          <w:u w:val="single"/>
          <w:lang w:val="en-US" w:eastAsia="zh-CN"/>
        </w:rPr>
        <w:t>f the case</w:t>
      </w:r>
      <w:r>
        <w:rPr>
          <w:rFonts w:ascii="Microsoft YaHei" w:eastAsia="Microsoft YaHei" w:hAnsi="Microsoft YaHei" w:cs="Microsoft YaHei" w:hint="eastAsia"/>
          <w:szCs w:val="24"/>
          <w:u w:val="single"/>
          <w:lang w:val="en-US" w:eastAsia="zh-CN"/>
        </w:rPr>
        <w:t>）</w:t>
      </w:r>
      <w:r w:rsidRPr="008F574A">
        <w:rPr>
          <w:rFonts w:ascii="Arial" w:hAnsi="Arial" w:cs="Arial"/>
          <w:szCs w:val="24"/>
          <w:u w:val="single"/>
          <w:lang w:val="en-US"/>
        </w:rPr>
        <w:br/>
      </w:r>
      <w:r w:rsidRPr="008F574A">
        <w:rPr>
          <w:rFonts w:ascii="Arial" w:hAnsi="Arial" w:cs="Arial"/>
          <w:szCs w:val="24"/>
          <w:lang w:val="en-US"/>
        </w:rPr>
        <w:t xml:space="preserve">Provide a description of </w:t>
      </w:r>
      <w:r>
        <w:rPr>
          <w:rFonts w:ascii="Arial" w:hAnsi="Arial" w:cs="Arial"/>
          <w:szCs w:val="24"/>
          <w:lang w:val="en-US"/>
        </w:rPr>
        <w:t>whyRon Engineering believed they were entitled to their deposit</w:t>
      </w:r>
    </w:p>
    <w:p w:rsidR="007D7928" w:rsidRPr="003B4378" w:rsidRDefault="007D7928" w:rsidP="007D7928">
      <w:pPr>
        <w:pStyle w:val="ListParagraph"/>
        <w:numPr>
          <w:ilvl w:val="0"/>
          <w:numId w:val="3"/>
        </w:numPr>
        <w:tabs>
          <w:tab w:val="left" w:pos="1440"/>
        </w:tabs>
        <w:spacing w:after="0" w:line="360" w:lineRule="auto"/>
        <w:ind w:left="1287" w:hanging="567"/>
        <w:rPr>
          <w:rFonts w:ascii="Arial" w:hAnsi="Arial" w:cs="Arial"/>
          <w:szCs w:val="24"/>
          <w:u w:val="single"/>
          <w:lang w:val="en-US"/>
        </w:rPr>
      </w:pPr>
      <w:r>
        <w:rPr>
          <w:rFonts w:ascii="Arial" w:hAnsi="Arial" w:cs="Arial"/>
          <w:szCs w:val="24"/>
          <w:u w:val="single"/>
          <w:lang w:val="en-US"/>
        </w:rPr>
        <w:t>The Government of Ontario (</w:t>
      </w:r>
      <w:r w:rsidRPr="008F574A">
        <w:rPr>
          <w:rFonts w:ascii="Arial" w:hAnsi="Arial" w:cs="Arial"/>
          <w:szCs w:val="24"/>
          <w:u w:val="single"/>
          <w:lang w:val="en-US"/>
        </w:rPr>
        <w:t>The Defendant’s</w:t>
      </w:r>
      <w:r>
        <w:rPr>
          <w:rFonts w:ascii="Arial" w:hAnsi="Arial" w:cs="Arial"/>
          <w:szCs w:val="24"/>
          <w:u w:val="single"/>
          <w:lang w:val="en-US"/>
        </w:rPr>
        <w:t>)</w:t>
      </w:r>
      <w:r w:rsidRPr="008F574A">
        <w:rPr>
          <w:rFonts w:ascii="Arial" w:hAnsi="Arial" w:cs="Arial"/>
          <w:szCs w:val="24"/>
          <w:u w:val="single"/>
          <w:lang w:val="en-US"/>
        </w:rPr>
        <w:t xml:space="preserve"> Position</w:t>
      </w:r>
      <w:r>
        <w:rPr>
          <w:rFonts w:ascii="Microsoft YaHei" w:eastAsia="Microsoft YaHei" w:hAnsi="Microsoft YaHei" w:cs="Microsoft YaHei" w:hint="eastAsia"/>
          <w:szCs w:val="24"/>
          <w:u w:val="single"/>
          <w:lang w:val="en-US" w:eastAsia="zh-CN"/>
        </w:rPr>
        <w:t>（discussissue</w:t>
      </w:r>
      <w:r>
        <w:rPr>
          <w:rFonts w:ascii="Microsoft YaHei" w:eastAsia="Microsoft YaHei" w:hAnsi="Microsoft YaHei" w:cs="Microsoft YaHei"/>
          <w:szCs w:val="24"/>
          <w:u w:val="single"/>
          <w:lang w:val="en-US" w:eastAsia="zh-CN"/>
        </w:rPr>
        <w:t xml:space="preserve"> of the case</w:t>
      </w:r>
      <w:r>
        <w:rPr>
          <w:rFonts w:ascii="Microsoft YaHei" w:eastAsia="Microsoft YaHei" w:hAnsi="Microsoft YaHei" w:cs="Microsoft YaHei" w:hint="eastAsia"/>
          <w:szCs w:val="24"/>
          <w:u w:val="single"/>
          <w:lang w:val="en-US" w:eastAsia="zh-CN"/>
        </w:rPr>
        <w:t>）</w:t>
      </w:r>
      <w:r w:rsidRPr="008F574A">
        <w:rPr>
          <w:rFonts w:ascii="Arial" w:hAnsi="Arial" w:cs="Arial"/>
          <w:szCs w:val="24"/>
          <w:u w:val="single"/>
          <w:lang w:val="en-US"/>
        </w:rPr>
        <w:br/>
      </w:r>
      <w:r w:rsidRPr="008F574A">
        <w:rPr>
          <w:rFonts w:ascii="Arial" w:hAnsi="Arial" w:cs="Arial"/>
          <w:szCs w:val="24"/>
          <w:lang w:val="en-US"/>
        </w:rPr>
        <w:t xml:space="preserve">Provide a description of </w:t>
      </w:r>
      <w:r>
        <w:rPr>
          <w:rFonts w:ascii="Arial" w:hAnsi="Arial" w:cs="Arial"/>
          <w:szCs w:val="24"/>
          <w:lang w:val="en-US"/>
        </w:rPr>
        <w:t>whyThe Government of Ontario believed they were entitled to keep the deposit</w:t>
      </w:r>
    </w:p>
    <w:p w:rsidR="007D7928" w:rsidRDefault="007D7928" w:rsidP="007D7928">
      <w:pPr>
        <w:pStyle w:val="ListParagraph"/>
        <w:numPr>
          <w:ilvl w:val="0"/>
          <w:numId w:val="3"/>
        </w:numPr>
        <w:tabs>
          <w:tab w:val="left" w:pos="1440"/>
        </w:tabs>
        <w:spacing w:after="0" w:line="360" w:lineRule="auto"/>
        <w:ind w:left="1287" w:hanging="567"/>
        <w:rPr>
          <w:rFonts w:ascii="Arial" w:hAnsi="Arial" w:cs="Arial"/>
          <w:szCs w:val="24"/>
          <w:lang w:val="en-US"/>
        </w:rPr>
      </w:pPr>
      <w:r w:rsidRPr="008F574A">
        <w:rPr>
          <w:rFonts w:ascii="Arial" w:hAnsi="Arial" w:cs="Arial"/>
          <w:szCs w:val="24"/>
          <w:u w:val="single"/>
          <w:lang w:val="en-US"/>
        </w:rPr>
        <w:t>The Ruling</w:t>
      </w:r>
      <w:r w:rsidRPr="008F574A">
        <w:rPr>
          <w:rFonts w:ascii="Arial" w:hAnsi="Arial" w:cs="Arial"/>
          <w:szCs w:val="24"/>
          <w:u w:val="single"/>
          <w:lang w:val="en-US"/>
        </w:rPr>
        <w:br/>
      </w:r>
      <w:r w:rsidRPr="008F574A">
        <w:rPr>
          <w:rFonts w:ascii="Arial" w:hAnsi="Arial" w:cs="Arial"/>
          <w:szCs w:val="24"/>
          <w:lang w:val="en-US"/>
        </w:rPr>
        <w:t xml:space="preserve">Provide a description of </w:t>
      </w:r>
      <w:r>
        <w:rPr>
          <w:rFonts w:ascii="Arial" w:hAnsi="Arial" w:cs="Arial"/>
          <w:szCs w:val="24"/>
          <w:lang w:val="en-US"/>
        </w:rPr>
        <w:t>what the Supreme Court decided (who got to keep the deposit?). What their</w:t>
      </w:r>
      <w:r w:rsidRPr="008F574A">
        <w:rPr>
          <w:rFonts w:ascii="Arial" w:hAnsi="Arial" w:cs="Arial"/>
          <w:szCs w:val="24"/>
          <w:lang w:val="en-US"/>
        </w:rPr>
        <w:t xml:space="preserve"> rationale </w:t>
      </w:r>
      <w:r>
        <w:rPr>
          <w:rFonts w:ascii="Arial" w:hAnsi="Arial" w:cs="Arial"/>
          <w:szCs w:val="24"/>
          <w:lang w:val="en-US"/>
        </w:rPr>
        <w:t xml:space="preserve">fortheir decision and why was this so significant? </w:t>
      </w:r>
    </w:p>
    <w:p w:rsidR="007D7928" w:rsidRPr="00973F9D" w:rsidRDefault="007D7928" w:rsidP="007D7928">
      <w:pPr>
        <w:pStyle w:val="ListParagraph"/>
        <w:numPr>
          <w:ilvl w:val="0"/>
          <w:numId w:val="3"/>
        </w:numPr>
        <w:tabs>
          <w:tab w:val="left" w:pos="1440"/>
        </w:tabs>
        <w:spacing w:after="0" w:line="360" w:lineRule="auto"/>
        <w:ind w:left="1287" w:hanging="567"/>
        <w:rPr>
          <w:rFonts w:ascii="Arial" w:hAnsi="Arial" w:cs="Arial"/>
          <w:szCs w:val="24"/>
          <w:lang w:val="en-US"/>
        </w:rPr>
      </w:pPr>
      <w:r>
        <w:rPr>
          <w:rFonts w:ascii="Arial" w:hAnsi="Arial" w:cs="Arial"/>
          <w:szCs w:val="24"/>
          <w:u w:val="single"/>
          <w:lang w:val="en-US"/>
        </w:rPr>
        <w:t>Personal Reflection – Mistakes in Procurement</w:t>
      </w:r>
      <w:r w:rsidRPr="00973F9D">
        <w:rPr>
          <w:rFonts w:ascii="Arial" w:hAnsi="Arial" w:cs="Arial"/>
          <w:szCs w:val="24"/>
          <w:u w:val="single"/>
          <w:lang w:val="en-US"/>
        </w:rPr>
        <w:br/>
      </w:r>
      <w:r>
        <w:rPr>
          <w:rFonts w:ascii="Arial" w:hAnsi="Arial" w:cs="Arial"/>
          <w:szCs w:val="24"/>
          <w:lang w:val="en-US"/>
        </w:rPr>
        <w:t>Reflecting on the principles of public sector procurement, p</w:t>
      </w:r>
      <w:r w:rsidRPr="00973F9D">
        <w:rPr>
          <w:rFonts w:ascii="Arial" w:hAnsi="Arial" w:cs="Arial"/>
          <w:szCs w:val="24"/>
          <w:lang w:val="en-US"/>
        </w:rPr>
        <w:t xml:space="preserve">rovide a </w:t>
      </w:r>
      <w:r>
        <w:rPr>
          <w:rFonts w:ascii="Arial" w:hAnsi="Arial" w:cs="Arial"/>
          <w:szCs w:val="24"/>
          <w:lang w:val="en-US"/>
        </w:rPr>
        <w:t xml:space="preserve">brief reflection </w:t>
      </w:r>
      <w:r>
        <w:rPr>
          <w:rFonts w:ascii="Arial" w:hAnsi="Arial" w:cs="Arial"/>
          <w:szCs w:val="24"/>
          <w:lang w:val="en-US"/>
        </w:rPr>
        <w:lastRenderedPageBreak/>
        <w:t xml:space="preserve">on how you think mistakes should be treated in the procurement process and what can be done to help prevent them? </w:t>
      </w:r>
    </w:p>
    <w:bookmarkEnd w:id="1"/>
    <w:p w:rsidR="007D7928" w:rsidRDefault="007D7928" w:rsidP="007D7928">
      <w:pPr>
        <w:tabs>
          <w:tab w:val="left" w:pos="1440"/>
        </w:tabs>
        <w:spacing w:after="0" w:line="360" w:lineRule="auto"/>
        <w:ind w:left="567" w:hanging="567"/>
        <w:rPr>
          <w:rFonts w:ascii="Arial" w:hAnsi="Arial" w:cs="Arial"/>
          <w:sz w:val="24"/>
          <w:szCs w:val="24"/>
          <w:lang w:val="en-US"/>
        </w:rPr>
      </w:pPr>
    </w:p>
    <w:p w:rsidR="007D7928" w:rsidRPr="00322AA8" w:rsidRDefault="007D7928" w:rsidP="007D7928">
      <w:pPr>
        <w:tabs>
          <w:tab w:val="left" w:pos="1440"/>
        </w:tabs>
        <w:spacing w:after="0" w:line="360" w:lineRule="auto"/>
        <w:ind w:left="567" w:hanging="567"/>
        <w:rPr>
          <w:rFonts w:ascii="Arial" w:hAnsi="Arial" w:cs="Arial"/>
          <w:b/>
          <w:bCs/>
          <w:sz w:val="24"/>
          <w:szCs w:val="24"/>
          <w:lang w:val="en-US"/>
        </w:rPr>
      </w:pPr>
      <w:r w:rsidRPr="00322AA8">
        <w:rPr>
          <w:rFonts w:ascii="Arial" w:hAnsi="Arial" w:cs="Arial"/>
          <w:b/>
          <w:bCs/>
          <w:sz w:val="24"/>
          <w:szCs w:val="24"/>
          <w:lang w:val="en-US"/>
        </w:rPr>
        <w:t>Notes:</w:t>
      </w:r>
    </w:p>
    <w:p w:rsidR="007D7928" w:rsidRPr="00E16C0C" w:rsidRDefault="007D7928" w:rsidP="007D7928">
      <w:pPr>
        <w:pStyle w:val="ListParagraph"/>
        <w:numPr>
          <w:ilvl w:val="0"/>
          <w:numId w:val="5"/>
        </w:numPr>
        <w:spacing w:after="160" w:line="240" w:lineRule="auto"/>
      </w:pPr>
      <w:r w:rsidRPr="00E16C0C">
        <w:rPr>
          <w:rFonts w:ascii="Arial" w:hAnsi="Arial" w:cs="Arial"/>
          <w:sz w:val="24"/>
          <w:szCs w:val="24"/>
        </w:rPr>
        <w:t>Please review the grading rubric.</w:t>
      </w:r>
    </w:p>
    <w:p w:rsidR="007D7928" w:rsidRPr="00E16C0C" w:rsidRDefault="007D7928" w:rsidP="007D7928">
      <w:pPr>
        <w:pStyle w:val="ListParagraph"/>
        <w:numPr>
          <w:ilvl w:val="0"/>
          <w:numId w:val="5"/>
        </w:numPr>
        <w:spacing w:after="160" w:line="240" w:lineRule="auto"/>
        <w:rPr>
          <w:rFonts w:ascii="Arial" w:hAnsi="Arial" w:cs="Arial"/>
          <w:sz w:val="24"/>
          <w:szCs w:val="24"/>
        </w:rPr>
      </w:pPr>
      <w:r>
        <w:rPr>
          <w:rFonts w:ascii="Arial" w:hAnsi="Arial" w:cs="Arial"/>
          <w:sz w:val="24"/>
          <w:szCs w:val="24"/>
        </w:rPr>
        <w:t>Be careful, there are multiple levels of court involved in this case. While the history of the case is important to the analysis, focus on the case and arguments presented at the Supreme Court.</w:t>
      </w:r>
    </w:p>
    <w:p w:rsidR="007D7928" w:rsidRPr="00322AA8" w:rsidRDefault="007D7928" w:rsidP="007D7928">
      <w:pPr>
        <w:pStyle w:val="ListParagraph"/>
        <w:spacing w:after="160" w:line="240" w:lineRule="auto"/>
        <w:rPr>
          <w:rFonts w:ascii="Arial" w:hAnsi="Arial" w:cs="Arial"/>
          <w:sz w:val="24"/>
          <w:szCs w:val="24"/>
        </w:rPr>
      </w:pPr>
    </w:p>
    <w:p w:rsidR="007D7928" w:rsidRPr="007D7928" w:rsidRDefault="007D7928" w:rsidP="007D7928">
      <w:pPr>
        <w:spacing w:after="0" w:line="360" w:lineRule="auto"/>
        <w:rPr>
          <w:rFonts w:ascii="Arial" w:eastAsia="+mn-ea" w:hAnsi="Arial" w:cs="Arial"/>
          <w:color w:val="46464A"/>
          <w:spacing w:val="30"/>
          <w:kern w:val="24"/>
          <w:sz w:val="24"/>
          <w:szCs w:val="24"/>
          <w:lang w:eastAsia="en-CA"/>
        </w:rPr>
      </w:pPr>
      <w:r>
        <w:rPr>
          <w:rFonts w:ascii="Arial" w:eastAsia="+mn-ea" w:hAnsi="Arial" w:cs="Arial"/>
          <w:color w:val="46464A"/>
          <w:spacing w:val="30"/>
          <w:kern w:val="24"/>
          <w:sz w:val="24"/>
          <w:szCs w:val="24"/>
          <w:lang w:eastAsia="en-CA"/>
        </w:rPr>
        <w:t>Organization of Your Assignment</w:t>
      </w:r>
      <w:bookmarkStart w:id="2" w:name="_GoBack"/>
      <w:bookmarkEnd w:id="2"/>
    </w:p>
    <w:p w:rsidR="007D7928" w:rsidRPr="005434BA" w:rsidRDefault="007D7928" w:rsidP="007D7928">
      <w:pPr>
        <w:numPr>
          <w:ilvl w:val="0"/>
          <w:numId w:val="1"/>
        </w:numPr>
        <w:rPr>
          <w:rFonts w:ascii="Arial" w:hAnsi="Arial" w:cs="Arial"/>
          <w:sz w:val="24"/>
          <w:szCs w:val="24"/>
        </w:rPr>
      </w:pPr>
      <w:r w:rsidRPr="005434BA">
        <w:rPr>
          <w:rFonts w:ascii="Arial" w:hAnsi="Arial" w:cs="Arial"/>
          <w:sz w:val="24"/>
          <w:szCs w:val="24"/>
        </w:rPr>
        <w:t>Table of Contents</w:t>
      </w:r>
    </w:p>
    <w:p w:rsidR="007D7928" w:rsidRPr="005434BA" w:rsidRDefault="007D7928" w:rsidP="007D7928">
      <w:pPr>
        <w:numPr>
          <w:ilvl w:val="0"/>
          <w:numId w:val="1"/>
        </w:numPr>
        <w:rPr>
          <w:rFonts w:ascii="Arial" w:hAnsi="Arial" w:cs="Arial"/>
          <w:sz w:val="24"/>
          <w:szCs w:val="24"/>
        </w:rPr>
      </w:pPr>
      <w:r w:rsidRPr="00073308">
        <w:rPr>
          <w:rFonts w:ascii="Arial" w:hAnsi="Arial" w:cs="Arial"/>
          <w:sz w:val="24"/>
          <w:szCs w:val="24"/>
        </w:rPr>
        <w:t xml:space="preserve">The Queen (Ont.) v. Ron Engineering </w:t>
      </w:r>
    </w:p>
    <w:p w:rsidR="007D7928" w:rsidRDefault="007D7928" w:rsidP="007D7928">
      <w:pPr>
        <w:numPr>
          <w:ilvl w:val="1"/>
          <w:numId w:val="2"/>
        </w:numPr>
        <w:rPr>
          <w:rFonts w:ascii="Arial" w:hAnsi="Arial" w:cs="Arial"/>
          <w:sz w:val="24"/>
          <w:szCs w:val="24"/>
        </w:rPr>
      </w:pPr>
      <w:r>
        <w:rPr>
          <w:rFonts w:ascii="Arial" w:hAnsi="Arial" w:cs="Arial"/>
          <w:sz w:val="24"/>
          <w:szCs w:val="24"/>
        </w:rPr>
        <w:t>Background</w:t>
      </w:r>
    </w:p>
    <w:p w:rsidR="007D7928" w:rsidRPr="0010391F" w:rsidRDefault="007D7928" w:rsidP="007D7928">
      <w:pPr>
        <w:numPr>
          <w:ilvl w:val="1"/>
          <w:numId w:val="2"/>
        </w:numPr>
        <w:rPr>
          <w:rFonts w:ascii="Arial" w:hAnsi="Arial" w:cs="Arial"/>
          <w:sz w:val="24"/>
          <w:szCs w:val="24"/>
        </w:rPr>
      </w:pPr>
      <w:r w:rsidRPr="0010391F">
        <w:rPr>
          <w:rFonts w:ascii="Arial" w:hAnsi="Arial" w:cs="Arial"/>
          <w:szCs w:val="24"/>
          <w:lang w:val="en-US"/>
        </w:rPr>
        <w:t xml:space="preserve">Ron Engineering’s (The Plaintiff) Position </w:t>
      </w:r>
    </w:p>
    <w:p w:rsidR="007D7928" w:rsidRPr="0010391F" w:rsidRDefault="007D7928" w:rsidP="007D7928">
      <w:pPr>
        <w:numPr>
          <w:ilvl w:val="1"/>
          <w:numId w:val="2"/>
        </w:numPr>
        <w:rPr>
          <w:rFonts w:ascii="Arial" w:hAnsi="Arial" w:cs="Arial"/>
          <w:sz w:val="24"/>
          <w:szCs w:val="24"/>
        </w:rPr>
      </w:pPr>
      <w:r w:rsidRPr="0010391F">
        <w:rPr>
          <w:rFonts w:ascii="Arial" w:hAnsi="Arial" w:cs="Arial"/>
          <w:szCs w:val="24"/>
          <w:lang w:val="en-US"/>
        </w:rPr>
        <w:t>The Government of Ontario Position</w:t>
      </w:r>
    </w:p>
    <w:p w:rsidR="007D7928" w:rsidRPr="0010391F" w:rsidRDefault="007D7928" w:rsidP="007D7928">
      <w:pPr>
        <w:numPr>
          <w:ilvl w:val="1"/>
          <w:numId w:val="2"/>
        </w:numPr>
        <w:rPr>
          <w:rFonts w:ascii="Arial" w:hAnsi="Arial" w:cs="Arial"/>
          <w:sz w:val="24"/>
          <w:szCs w:val="24"/>
        </w:rPr>
      </w:pPr>
      <w:r w:rsidRPr="0010391F">
        <w:rPr>
          <w:rFonts w:ascii="Arial" w:hAnsi="Arial" w:cs="Arial"/>
          <w:sz w:val="24"/>
          <w:szCs w:val="24"/>
        </w:rPr>
        <w:t>The Ruling</w:t>
      </w:r>
    </w:p>
    <w:p w:rsidR="007D7928" w:rsidRPr="00F10B55" w:rsidRDefault="007D7928" w:rsidP="007D7928">
      <w:pPr>
        <w:numPr>
          <w:ilvl w:val="1"/>
          <w:numId w:val="2"/>
        </w:numPr>
        <w:rPr>
          <w:rFonts w:ascii="Arial" w:hAnsi="Arial" w:cs="Arial"/>
          <w:sz w:val="24"/>
          <w:szCs w:val="24"/>
        </w:rPr>
      </w:pPr>
      <w:r>
        <w:rPr>
          <w:rFonts w:ascii="Arial" w:hAnsi="Arial" w:cs="Arial"/>
          <w:sz w:val="24"/>
          <w:szCs w:val="24"/>
        </w:rPr>
        <w:t>Personal Reflection – Mistakes in Procurement</w:t>
      </w:r>
    </w:p>
    <w:p w:rsidR="007D7928" w:rsidRPr="005434BA" w:rsidRDefault="007D7928" w:rsidP="007D7928">
      <w:pPr>
        <w:numPr>
          <w:ilvl w:val="1"/>
          <w:numId w:val="2"/>
        </w:numPr>
        <w:rPr>
          <w:rFonts w:ascii="Arial" w:hAnsi="Arial" w:cs="Arial"/>
          <w:sz w:val="24"/>
          <w:szCs w:val="24"/>
        </w:rPr>
      </w:pPr>
      <w:r w:rsidRPr="005434BA">
        <w:rPr>
          <w:rFonts w:ascii="Arial" w:hAnsi="Arial" w:cs="Arial"/>
          <w:sz w:val="24"/>
          <w:szCs w:val="24"/>
        </w:rPr>
        <w:t>Bibliography</w:t>
      </w:r>
    </w:p>
    <w:p w:rsidR="007D7928" w:rsidRDefault="007D7928" w:rsidP="007D7928">
      <w:pPr>
        <w:spacing w:after="0" w:line="240" w:lineRule="auto"/>
        <w:rPr>
          <w:rFonts w:ascii="Arial" w:hAnsi="Arial" w:cs="Arial"/>
          <w:sz w:val="24"/>
          <w:szCs w:val="24"/>
        </w:rPr>
      </w:pPr>
      <w:r>
        <w:rPr>
          <w:rFonts w:ascii="Arial" w:hAnsi="Arial" w:cs="Arial"/>
          <w:sz w:val="24"/>
          <w:szCs w:val="24"/>
        </w:rPr>
        <w:br w:type="page"/>
      </w:r>
    </w:p>
    <w:p w:rsidR="001E7B70" w:rsidRDefault="001E7B70"/>
    <w:sectPr w:rsidR="001E7B70" w:rsidSect="00E97D2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173" w:rsidRDefault="009D6173" w:rsidP="007D7928">
      <w:pPr>
        <w:spacing w:after="0" w:line="240" w:lineRule="auto"/>
      </w:pPr>
      <w:r>
        <w:separator/>
      </w:r>
    </w:p>
  </w:endnote>
  <w:endnote w:type="continuationSeparator" w:id="1">
    <w:p w:rsidR="009D6173" w:rsidRDefault="009D6173" w:rsidP="007D7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sig w:usb0="00000000" w:usb1="00000000" w:usb2="00000000" w:usb3="00000000" w:csb0="00000000" w:csb1="00000000"/>
  </w:font>
  <w:font w:name="Microsoft YaHei UI">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173" w:rsidRDefault="009D6173" w:rsidP="007D7928">
      <w:pPr>
        <w:spacing w:after="0" w:line="240" w:lineRule="auto"/>
      </w:pPr>
      <w:r>
        <w:separator/>
      </w:r>
    </w:p>
  </w:footnote>
  <w:footnote w:type="continuationSeparator" w:id="1">
    <w:p w:rsidR="009D6173" w:rsidRDefault="009D6173" w:rsidP="007D79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B28E8"/>
    <w:multiLevelType w:val="hybridMultilevel"/>
    <w:tmpl w:val="16CE6006"/>
    <w:lvl w:ilvl="0" w:tplc="04090001">
      <w:start w:val="1"/>
      <w:numFmt w:val="bullet"/>
      <w:lvlText w:val=""/>
      <w:lvlJc w:val="left"/>
      <w:pPr>
        <w:ind w:left="720" w:hanging="720"/>
      </w:pPr>
      <w:rPr>
        <w:rFonts w:ascii="Symbol" w:hAnsi="Symbol" w:hint="default"/>
        <w:b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23867E0F"/>
    <w:multiLevelType w:val="hybridMultilevel"/>
    <w:tmpl w:val="E312A7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07F4F7B"/>
    <w:multiLevelType w:val="hybridMultilevel"/>
    <w:tmpl w:val="BE3A6E34"/>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2D56A6"/>
    <w:multiLevelType w:val="hybridMultilevel"/>
    <w:tmpl w:val="BA90D5C8"/>
    <w:lvl w:ilvl="0" w:tplc="FEEEB53E">
      <w:start w:val="1"/>
      <w:numFmt w:val="decimal"/>
      <w:lvlText w:val="%1."/>
      <w:lvlJc w:val="left"/>
      <w:pPr>
        <w:ind w:left="720" w:hanging="360"/>
      </w:pPr>
      <w:rPr>
        <w:rFonts w:hint="default"/>
      </w:rPr>
    </w:lvl>
    <w:lvl w:ilvl="1" w:tplc="D8EC4F06">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198201E"/>
    <w:multiLevelType w:val="hybridMultilevel"/>
    <w:tmpl w:val="08F03678"/>
    <w:lvl w:ilvl="0" w:tplc="02CEE4E0">
      <w:start w:val="1"/>
      <w:numFmt w:val="decimal"/>
      <w:lvlText w:val="%1."/>
      <w:lvlJc w:val="left"/>
      <w:pPr>
        <w:ind w:left="1080" w:hanging="72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F45631"/>
    <w:rsid w:val="000D6B26"/>
    <w:rsid w:val="001E7B70"/>
    <w:rsid w:val="0033068C"/>
    <w:rsid w:val="007D7928"/>
    <w:rsid w:val="009D6173"/>
    <w:rsid w:val="00E97D26"/>
    <w:rsid w:val="00F456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28"/>
    <w:pPr>
      <w:spacing w:after="200" w:line="27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928"/>
  </w:style>
  <w:style w:type="paragraph" w:styleId="Footer">
    <w:name w:val="footer"/>
    <w:basedOn w:val="Normal"/>
    <w:link w:val="FooterChar"/>
    <w:uiPriority w:val="99"/>
    <w:unhideWhenUsed/>
    <w:rsid w:val="007D7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928"/>
  </w:style>
  <w:style w:type="paragraph" w:styleId="ListParagraph">
    <w:name w:val="List Paragraph"/>
    <w:basedOn w:val="Normal"/>
    <w:uiPriority w:val="34"/>
    <w:qFormat/>
    <w:rsid w:val="007D7928"/>
    <w:pPr>
      <w:ind w:left="720"/>
      <w:contextualSpacing/>
    </w:pPr>
  </w:style>
  <w:style w:type="character" w:styleId="Hyperlink">
    <w:name w:val="Hyperlink"/>
    <w:basedOn w:val="DefaultParagraphFont"/>
    <w:uiPriority w:val="99"/>
    <w:unhideWhenUsed/>
    <w:rsid w:val="007D7928"/>
    <w:rPr>
      <w:color w:val="0563C1" w:themeColor="hyperlink"/>
      <w:u w:val="single"/>
    </w:rPr>
  </w:style>
  <w:style w:type="character" w:styleId="CommentReference">
    <w:name w:val="annotation reference"/>
    <w:basedOn w:val="DefaultParagraphFont"/>
    <w:uiPriority w:val="99"/>
    <w:semiHidden/>
    <w:unhideWhenUsed/>
    <w:rsid w:val="007D7928"/>
    <w:rPr>
      <w:sz w:val="16"/>
      <w:szCs w:val="16"/>
    </w:rPr>
  </w:style>
  <w:style w:type="paragraph" w:styleId="CommentText">
    <w:name w:val="annotation text"/>
    <w:basedOn w:val="Normal"/>
    <w:link w:val="CommentTextChar"/>
    <w:uiPriority w:val="99"/>
    <w:semiHidden/>
    <w:unhideWhenUsed/>
    <w:rsid w:val="007D7928"/>
    <w:pPr>
      <w:spacing w:line="240" w:lineRule="auto"/>
    </w:pPr>
    <w:rPr>
      <w:sz w:val="20"/>
      <w:szCs w:val="20"/>
    </w:rPr>
  </w:style>
  <w:style w:type="character" w:customStyle="1" w:styleId="CommentTextChar">
    <w:name w:val="Comment Text Char"/>
    <w:basedOn w:val="DefaultParagraphFont"/>
    <w:link w:val="CommentText"/>
    <w:uiPriority w:val="99"/>
    <w:semiHidden/>
    <w:rsid w:val="007D7928"/>
    <w:rPr>
      <w:rFonts w:ascii="Calibri" w:eastAsia="Calibri" w:hAnsi="Calibri" w:cs="Times New Roman"/>
      <w:sz w:val="20"/>
      <w:szCs w:val="20"/>
      <w:lang w:eastAsia="en-US"/>
    </w:rPr>
  </w:style>
  <w:style w:type="paragraph" w:styleId="BalloonText">
    <w:name w:val="Balloon Text"/>
    <w:basedOn w:val="Normal"/>
    <w:link w:val="BalloonTextChar"/>
    <w:uiPriority w:val="99"/>
    <w:semiHidden/>
    <w:unhideWhenUsed/>
    <w:rsid w:val="007D7928"/>
    <w:pPr>
      <w:spacing w:after="0" w:line="240" w:lineRule="auto"/>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7D7928"/>
    <w:rPr>
      <w:rFonts w:ascii="Microsoft YaHei UI" w:eastAsia="Microsoft YaHei UI" w:hAnsi="Calibri" w:cs="Times New Roman"/>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nlii.ca/t/1lpk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Yatong Wang</dc:creator>
  <cp:lastModifiedBy>klish</cp:lastModifiedBy>
  <cp:revision>2</cp:revision>
  <dcterms:created xsi:type="dcterms:W3CDTF">2020-02-06T10:05:00Z</dcterms:created>
  <dcterms:modified xsi:type="dcterms:W3CDTF">2020-02-06T10:05:00Z</dcterms:modified>
</cp:coreProperties>
</file>