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F9" w:rsidRDefault="00976F45" w:rsidP="00976F45">
      <w:pPr>
        <w:pStyle w:val="Title"/>
        <w:jc w:val="center"/>
        <w:rPr>
          <w:sz w:val="28"/>
          <w:szCs w:val="28"/>
        </w:rPr>
      </w:pPr>
      <w:r>
        <w:rPr>
          <w:sz w:val="28"/>
          <w:szCs w:val="28"/>
        </w:rPr>
        <w:t>FINA 5310</w:t>
      </w:r>
    </w:p>
    <w:p w:rsidR="00976F45" w:rsidRDefault="00976F45" w:rsidP="00976F45">
      <w:pPr>
        <w:jc w:val="center"/>
        <w:rPr>
          <w:sz w:val="24"/>
          <w:szCs w:val="24"/>
        </w:rPr>
      </w:pPr>
      <w:r w:rsidRPr="00976F45">
        <w:rPr>
          <w:sz w:val="24"/>
          <w:szCs w:val="24"/>
        </w:rPr>
        <w:t>Case Study</w:t>
      </w:r>
    </w:p>
    <w:p w:rsidR="00976F45" w:rsidRDefault="00976F45" w:rsidP="00976F45">
      <w:pPr>
        <w:rPr>
          <w:sz w:val="24"/>
          <w:szCs w:val="24"/>
        </w:rPr>
      </w:pPr>
    </w:p>
    <w:p w:rsidR="00976F45" w:rsidRDefault="00976F45" w:rsidP="00976F45">
      <w:pPr>
        <w:rPr>
          <w:sz w:val="24"/>
          <w:szCs w:val="24"/>
        </w:rPr>
      </w:pPr>
      <w:r>
        <w:rPr>
          <w:sz w:val="24"/>
          <w:szCs w:val="24"/>
        </w:rPr>
        <w:t xml:space="preserve">This Case Study is designed to evaluate your understanding of the concepts of asset valuation and the cost of capital. Evaluation of your response will concentrate more on your explanation of the steps that need to be taken to arrive at the correct answer, as opposed to actually arriving at the correct answer. In other words, I will be grading more on your ability to </w:t>
      </w:r>
      <w:r w:rsidR="005C3790">
        <w:rPr>
          <w:sz w:val="24"/>
          <w:szCs w:val="24"/>
        </w:rPr>
        <w:t>discuss</w:t>
      </w:r>
      <w:bookmarkStart w:id="0" w:name="_GoBack"/>
      <w:bookmarkEnd w:id="0"/>
      <w:r>
        <w:rPr>
          <w:sz w:val="24"/>
          <w:szCs w:val="24"/>
        </w:rPr>
        <w:t xml:space="preserve"> the process and less on your final conclusion.</w:t>
      </w:r>
    </w:p>
    <w:p w:rsidR="00976F45" w:rsidRDefault="00E3508E" w:rsidP="00976F45">
      <w:pPr>
        <w:rPr>
          <w:sz w:val="24"/>
          <w:szCs w:val="24"/>
        </w:rPr>
      </w:pPr>
      <w:r>
        <w:rPr>
          <w:sz w:val="24"/>
          <w:szCs w:val="24"/>
        </w:rPr>
        <w:t>Better papers will be 4 pages or more, including any appendices. The rubric for grading will be:</w:t>
      </w:r>
    </w:p>
    <w:tbl>
      <w:tblPr>
        <w:tblStyle w:val="TableGrid"/>
        <w:tblW w:w="7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0"/>
        <w:gridCol w:w="1260"/>
      </w:tblGrid>
      <w:tr w:rsidR="00A65DCD" w:rsidTr="00A65DCD">
        <w:tc>
          <w:tcPr>
            <w:tcW w:w="6570" w:type="dxa"/>
          </w:tcPr>
          <w:p w:rsidR="00A65DCD" w:rsidRDefault="00A65DCD" w:rsidP="00976F45">
            <w:pPr>
              <w:rPr>
                <w:sz w:val="24"/>
                <w:szCs w:val="24"/>
              </w:rPr>
            </w:pPr>
            <w:r>
              <w:rPr>
                <w:sz w:val="24"/>
                <w:szCs w:val="24"/>
              </w:rPr>
              <w:t>Grammar/Ease of Reading</w:t>
            </w:r>
          </w:p>
        </w:tc>
        <w:tc>
          <w:tcPr>
            <w:tcW w:w="1260" w:type="dxa"/>
          </w:tcPr>
          <w:p w:rsidR="00A65DCD" w:rsidRDefault="00A65DCD" w:rsidP="00976F45">
            <w:pPr>
              <w:rPr>
                <w:sz w:val="24"/>
                <w:szCs w:val="24"/>
              </w:rPr>
            </w:pPr>
            <w:r>
              <w:rPr>
                <w:sz w:val="24"/>
                <w:szCs w:val="24"/>
              </w:rPr>
              <w:t>10%</w:t>
            </w:r>
          </w:p>
        </w:tc>
      </w:tr>
      <w:tr w:rsidR="00A65DCD" w:rsidTr="00A65DCD">
        <w:tc>
          <w:tcPr>
            <w:tcW w:w="6570" w:type="dxa"/>
          </w:tcPr>
          <w:p w:rsidR="00A65DCD" w:rsidRDefault="00A65DCD" w:rsidP="00976F45">
            <w:pPr>
              <w:rPr>
                <w:sz w:val="24"/>
                <w:szCs w:val="24"/>
              </w:rPr>
            </w:pPr>
            <w:r>
              <w:rPr>
                <w:sz w:val="24"/>
                <w:szCs w:val="24"/>
              </w:rPr>
              <w:t>Development/Explanation of Free Cash Flows</w:t>
            </w:r>
          </w:p>
        </w:tc>
        <w:tc>
          <w:tcPr>
            <w:tcW w:w="1260" w:type="dxa"/>
          </w:tcPr>
          <w:p w:rsidR="00A65DCD" w:rsidRDefault="00A65DCD" w:rsidP="00976F45">
            <w:pPr>
              <w:rPr>
                <w:sz w:val="24"/>
                <w:szCs w:val="24"/>
              </w:rPr>
            </w:pPr>
            <w:r>
              <w:rPr>
                <w:sz w:val="24"/>
                <w:szCs w:val="24"/>
              </w:rPr>
              <w:t>20%</w:t>
            </w:r>
          </w:p>
        </w:tc>
      </w:tr>
      <w:tr w:rsidR="00A65DCD" w:rsidTr="00A65DCD">
        <w:tc>
          <w:tcPr>
            <w:tcW w:w="6570" w:type="dxa"/>
          </w:tcPr>
          <w:p w:rsidR="00A65DCD" w:rsidRDefault="00A65DCD" w:rsidP="00976F45">
            <w:pPr>
              <w:rPr>
                <w:sz w:val="24"/>
                <w:szCs w:val="24"/>
              </w:rPr>
            </w:pPr>
            <w:r>
              <w:rPr>
                <w:sz w:val="24"/>
                <w:szCs w:val="24"/>
              </w:rPr>
              <w:t>Computation of Free Cash Flows</w:t>
            </w:r>
          </w:p>
        </w:tc>
        <w:tc>
          <w:tcPr>
            <w:tcW w:w="1260" w:type="dxa"/>
          </w:tcPr>
          <w:p w:rsidR="00A65DCD" w:rsidRDefault="00A65DCD" w:rsidP="00976F45">
            <w:pPr>
              <w:rPr>
                <w:sz w:val="24"/>
                <w:szCs w:val="24"/>
              </w:rPr>
            </w:pPr>
            <w:r>
              <w:rPr>
                <w:sz w:val="24"/>
                <w:szCs w:val="24"/>
              </w:rPr>
              <w:t>10%</w:t>
            </w:r>
          </w:p>
        </w:tc>
      </w:tr>
      <w:tr w:rsidR="00A65DCD" w:rsidTr="00A65DCD">
        <w:tc>
          <w:tcPr>
            <w:tcW w:w="6570" w:type="dxa"/>
          </w:tcPr>
          <w:p w:rsidR="00A65DCD" w:rsidRDefault="00A65DCD" w:rsidP="00976F45">
            <w:pPr>
              <w:rPr>
                <w:sz w:val="24"/>
                <w:szCs w:val="24"/>
              </w:rPr>
            </w:pPr>
            <w:r>
              <w:rPr>
                <w:sz w:val="24"/>
                <w:szCs w:val="24"/>
              </w:rPr>
              <w:t>Development/Explanation of Weighted Average Cost of Capital</w:t>
            </w:r>
          </w:p>
        </w:tc>
        <w:tc>
          <w:tcPr>
            <w:tcW w:w="1260" w:type="dxa"/>
          </w:tcPr>
          <w:p w:rsidR="00A65DCD" w:rsidRDefault="00A65DCD" w:rsidP="00976F45">
            <w:pPr>
              <w:rPr>
                <w:sz w:val="24"/>
                <w:szCs w:val="24"/>
              </w:rPr>
            </w:pPr>
            <w:r>
              <w:rPr>
                <w:sz w:val="24"/>
                <w:szCs w:val="24"/>
              </w:rPr>
              <w:t>20%</w:t>
            </w:r>
          </w:p>
        </w:tc>
      </w:tr>
      <w:tr w:rsidR="00A65DCD" w:rsidTr="00A65DCD">
        <w:tc>
          <w:tcPr>
            <w:tcW w:w="6570" w:type="dxa"/>
          </w:tcPr>
          <w:p w:rsidR="00A65DCD" w:rsidRDefault="00A65DCD" w:rsidP="00976F45">
            <w:pPr>
              <w:rPr>
                <w:sz w:val="24"/>
                <w:szCs w:val="24"/>
              </w:rPr>
            </w:pPr>
            <w:r>
              <w:rPr>
                <w:sz w:val="24"/>
                <w:szCs w:val="24"/>
              </w:rPr>
              <w:t>Computation of WACC</w:t>
            </w:r>
          </w:p>
        </w:tc>
        <w:tc>
          <w:tcPr>
            <w:tcW w:w="1260" w:type="dxa"/>
          </w:tcPr>
          <w:p w:rsidR="00A65DCD" w:rsidRDefault="00A65DCD" w:rsidP="00976F45">
            <w:pPr>
              <w:rPr>
                <w:sz w:val="24"/>
                <w:szCs w:val="24"/>
              </w:rPr>
            </w:pPr>
            <w:r>
              <w:rPr>
                <w:sz w:val="24"/>
                <w:szCs w:val="24"/>
              </w:rPr>
              <w:t>10%</w:t>
            </w:r>
          </w:p>
        </w:tc>
      </w:tr>
      <w:tr w:rsidR="00A65DCD" w:rsidTr="00A65DCD">
        <w:tc>
          <w:tcPr>
            <w:tcW w:w="6570" w:type="dxa"/>
          </w:tcPr>
          <w:p w:rsidR="00A65DCD" w:rsidRDefault="00A65DCD" w:rsidP="00976F45">
            <w:pPr>
              <w:rPr>
                <w:sz w:val="24"/>
                <w:szCs w:val="24"/>
              </w:rPr>
            </w:pPr>
            <w:r>
              <w:rPr>
                <w:sz w:val="24"/>
                <w:szCs w:val="24"/>
              </w:rPr>
              <w:t>Development/Explanation of Stock Valuation</w:t>
            </w:r>
          </w:p>
        </w:tc>
        <w:tc>
          <w:tcPr>
            <w:tcW w:w="1260" w:type="dxa"/>
          </w:tcPr>
          <w:p w:rsidR="00A65DCD" w:rsidRDefault="00A65DCD" w:rsidP="00976F45">
            <w:pPr>
              <w:rPr>
                <w:sz w:val="24"/>
                <w:szCs w:val="24"/>
              </w:rPr>
            </w:pPr>
            <w:r>
              <w:rPr>
                <w:sz w:val="24"/>
                <w:szCs w:val="24"/>
              </w:rPr>
              <w:t>20%</w:t>
            </w:r>
          </w:p>
        </w:tc>
      </w:tr>
      <w:tr w:rsidR="00A65DCD" w:rsidTr="00A65DCD">
        <w:tc>
          <w:tcPr>
            <w:tcW w:w="6570" w:type="dxa"/>
          </w:tcPr>
          <w:p w:rsidR="00A65DCD" w:rsidRDefault="00A65DCD" w:rsidP="00976F45">
            <w:pPr>
              <w:rPr>
                <w:sz w:val="24"/>
                <w:szCs w:val="24"/>
              </w:rPr>
            </w:pPr>
            <w:r>
              <w:rPr>
                <w:sz w:val="24"/>
                <w:szCs w:val="24"/>
              </w:rPr>
              <w:t>Computation of Stock Valuation</w:t>
            </w:r>
          </w:p>
        </w:tc>
        <w:tc>
          <w:tcPr>
            <w:tcW w:w="1260" w:type="dxa"/>
          </w:tcPr>
          <w:p w:rsidR="00A65DCD" w:rsidRDefault="00A65DCD" w:rsidP="00976F45">
            <w:pPr>
              <w:rPr>
                <w:sz w:val="24"/>
                <w:szCs w:val="24"/>
              </w:rPr>
            </w:pPr>
            <w:r>
              <w:rPr>
                <w:sz w:val="24"/>
                <w:szCs w:val="24"/>
              </w:rPr>
              <w:t>10%</w:t>
            </w:r>
          </w:p>
        </w:tc>
      </w:tr>
    </w:tbl>
    <w:p w:rsidR="00A65DCD" w:rsidRDefault="00A65DCD" w:rsidP="00976F45">
      <w:pPr>
        <w:rPr>
          <w:sz w:val="24"/>
          <w:szCs w:val="24"/>
        </w:rPr>
      </w:pPr>
    </w:p>
    <w:p w:rsidR="00A65DCD" w:rsidRDefault="00A65DCD">
      <w:pPr>
        <w:rPr>
          <w:sz w:val="24"/>
          <w:szCs w:val="24"/>
        </w:rPr>
      </w:pPr>
      <w:r>
        <w:rPr>
          <w:sz w:val="24"/>
          <w:szCs w:val="24"/>
        </w:rPr>
        <w:br w:type="page"/>
      </w:r>
    </w:p>
    <w:p w:rsidR="00E3508E" w:rsidRDefault="00A94F43" w:rsidP="00A94F43">
      <w:pPr>
        <w:jc w:val="center"/>
        <w:rPr>
          <w:sz w:val="24"/>
          <w:szCs w:val="24"/>
        </w:rPr>
      </w:pPr>
      <w:r>
        <w:rPr>
          <w:sz w:val="24"/>
          <w:szCs w:val="24"/>
        </w:rPr>
        <w:lastRenderedPageBreak/>
        <w:t>Universal Technologies, Inc.</w:t>
      </w:r>
    </w:p>
    <w:p w:rsidR="001C2D5D" w:rsidRDefault="00A94F43" w:rsidP="00A94F43">
      <w:pPr>
        <w:rPr>
          <w:sz w:val="24"/>
          <w:szCs w:val="24"/>
        </w:rPr>
      </w:pPr>
      <w:r>
        <w:rPr>
          <w:sz w:val="24"/>
          <w:szCs w:val="24"/>
        </w:rPr>
        <w:t xml:space="preserve">William </w:t>
      </w:r>
      <w:r w:rsidR="001C2D5D">
        <w:rPr>
          <w:sz w:val="24"/>
          <w:szCs w:val="24"/>
        </w:rPr>
        <w:t xml:space="preserve">(Bill) </w:t>
      </w:r>
      <w:r>
        <w:rPr>
          <w:sz w:val="24"/>
          <w:szCs w:val="24"/>
        </w:rPr>
        <w:t xml:space="preserve">Smith, CFO of Universal Technologies, Inc. (UT), has received an offer from </w:t>
      </w:r>
      <w:r w:rsidR="001C2D5D">
        <w:rPr>
          <w:sz w:val="24"/>
          <w:szCs w:val="24"/>
        </w:rPr>
        <w:t xml:space="preserve">Bigalow General Corporation (BG) to purchase the common stock of UT for the price of $20.00 per share. Based on this offer, Bill has asked you construct a valuation of UT’s common stock. </w:t>
      </w:r>
    </w:p>
    <w:p w:rsidR="00A94F43" w:rsidRDefault="001C2D5D" w:rsidP="00A94F43">
      <w:pPr>
        <w:rPr>
          <w:sz w:val="24"/>
          <w:szCs w:val="24"/>
        </w:rPr>
      </w:pPr>
      <w:r>
        <w:rPr>
          <w:sz w:val="24"/>
          <w:szCs w:val="24"/>
        </w:rPr>
        <w:t xml:space="preserve">Based upon this request you have constructed a set of projections for UT for years 2019 – 2023 (See Attached Appendix “A”). </w:t>
      </w:r>
      <w:r w:rsidR="00C4088B">
        <w:rPr>
          <w:sz w:val="24"/>
          <w:szCs w:val="24"/>
        </w:rPr>
        <w:t xml:space="preserve">After 2023, you have determined that </w:t>
      </w:r>
      <w:r w:rsidR="005D436D">
        <w:rPr>
          <w:sz w:val="24"/>
          <w:szCs w:val="24"/>
        </w:rPr>
        <w:t xml:space="preserve">Free Cash Flows will grow at a constant rate or 4% per year. </w:t>
      </w:r>
      <w:r>
        <w:rPr>
          <w:sz w:val="24"/>
          <w:szCs w:val="24"/>
        </w:rPr>
        <w:t>In addition to the projections, you have the following information about UT and the financial markets.</w:t>
      </w:r>
    </w:p>
    <w:p w:rsidR="001C2D5D" w:rsidRDefault="001B7622" w:rsidP="00A94F43">
      <w:pPr>
        <w:rPr>
          <w:sz w:val="24"/>
          <w:szCs w:val="24"/>
        </w:rPr>
      </w:pPr>
      <w:r>
        <w:rPr>
          <w:sz w:val="24"/>
          <w:szCs w:val="24"/>
        </w:rPr>
        <w:t xml:space="preserve">UT </w:t>
      </w:r>
      <w:r w:rsidR="00EA7184">
        <w:rPr>
          <w:sz w:val="24"/>
          <w:szCs w:val="24"/>
        </w:rPr>
        <w:t xml:space="preserve">has a </w:t>
      </w:r>
      <w:r w:rsidR="00000F9F">
        <w:rPr>
          <w:sz w:val="24"/>
          <w:szCs w:val="24"/>
        </w:rPr>
        <w:t>$</w:t>
      </w:r>
      <w:r w:rsidR="00EA7184">
        <w:rPr>
          <w:sz w:val="24"/>
          <w:szCs w:val="24"/>
        </w:rPr>
        <w:t>1.5 billion</w:t>
      </w:r>
      <w:r w:rsidR="00000F9F">
        <w:rPr>
          <w:sz w:val="24"/>
          <w:szCs w:val="24"/>
        </w:rPr>
        <w:t xml:space="preserve"> Commercial Line of </w:t>
      </w:r>
      <w:r w:rsidR="001D5BF4">
        <w:rPr>
          <w:sz w:val="24"/>
          <w:szCs w:val="24"/>
        </w:rPr>
        <w:t>C</w:t>
      </w:r>
      <w:r w:rsidR="00000F9F">
        <w:rPr>
          <w:sz w:val="24"/>
          <w:szCs w:val="24"/>
        </w:rPr>
        <w:t xml:space="preserve">redit that carries a variable interest rate priced at </w:t>
      </w:r>
      <w:r w:rsidR="00A533BC">
        <w:rPr>
          <w:sz w:val="24"/>
          <w:szCs w:val="24"/>
        </w:rPr>
        <w:t>the Prime Rate of interest as published from time to time by the Wall Street Journal.</w:t>
      </w:r>
      <w:r w:rsidR="00CF18ED">
        <w:rPr>
          <w:sz w:val="24"/>
          <w:szCs w:val="24"/>
        </w:rPr>
        <w:t xml:space="preserve">UT has </w:t>
      </w:r>
      <w:r w:rsidR="00846FEF">
        <w:rPr>
          <w:sz w:val="24"/>
          <w:szCs w:val="24"/>
        </w:rPr>
        <w:t xml:space="preserve">$1.2 billion of $1,000 par value bonds that carry a </w:t>
      </w:r>
      <w:r w:rsidR="00C140FD">
        <w:rPr>
          <w:sz w:val="24"/>
          <w:szCs w:val="24"/>
        </w:rPr>
        <w:t>coupon interest rate of 5.</w:t>
      </w:r>
      <w:r w:rsidR="00382CE3">
        <w:rPr>
          <w:sz w:val="24"/>
          <w:szCs w:val="24"/>
        </w:rPr>
        <w:t>75%</w:t>
      </w:r>
      <w:r w:rsidR="004E5C89">
        <w:rPr>
          <w:sz w:val="24"/>
          <w:szCs w:val="24"/>
        </w:rPr>
        <w:t>, payable annually. The bonds mature 7 years from now</w:t>
      </w:r>
      <w:r w:rsidR="00C0443D">
        <w:rPr>
          <w:sz w:val="24"/>
          <w:szCs w:val="24"/>
        </w:rPr>
        <w:t>, and currently sell in the secondary market at $887 per bond.</w:t>
      </w:r>
    </w:p>
    <w:p w:rsidR="001D5BF4" w:rsidRDefault="00D058CD" w:rsidP="00A94F43">
      <w:pPr>
        <w:rPr>
          <w:sz w:val="24"/>
          <w:szCs w:val="24"/>
        </w:rPr>
      </w:pPr>
      <w:r>
        <w:rPr>
          <w:sz w:val="24"/>
          <w:szCs w:val="24"/>
        </w:rPr>
        <w:t xml:space="preserve">UT has issued </w:t>
      </w:r>
      <w:r w:rsidR="00402A20">
        <w:rPr>
          <w:sz w:val="24"/>
          <w:szCs w:val="24"/>
        </w:rPr>
        <w:t xml:space="preserve">$500 million of $100 par value perpetual preferred stock that carries a preferred dividend of </w:t>
      </w:r>
      <w:r w:rsidR="00552687">
        <w:rPr>
          <w:sz w:val="24"/>
          <w:szCs w:val="24"/>
        </w:rPr>
        <w:t>6.50%. UT’s preferred stock</w:t>
      </w:r>
      <w:r w:rsidR="006C19B5">
        <w:rPr>
          <w:sz w:val="24"/>
          <w:szCs w:val="24"/>
        </w:rPr>
        <w:t xml:space="preserve"> currently sells in the secondary market at $92.50 per share.</w:t>
      </w:r>
    </w:p>
    <w:p w:rsidR="006C19B5" w:rsidRDefault="001204A8" w:rsidP="00A94F43">
      <w:pPr>
        <w:rPr>
          <w:sz w:val="24"/>
          <w:szCs w:val="24"/>
        </w:rPr>
      </w:pPr>
      <w:r>
        <w:rPr>
          <w:sz w:val="24"/>
          <w:szCs w:val="24"/>
        </w:rPr>
        <w:t>UT has 6</w:t>
      </w:r>
      <w:r w:rsidR="00404523">
        <w:rPr>
          <w:sz w:val="24"/>
          <w:szCs w:val="24"/>
        </w:rPr>
        <w:t>8.5 million shares of common stock outstanding.</w:t>
      </w:r>
    </w:p>
    <w:p w:rsidR="00404523" w:rsidRDefault="00404523" w:rsidP="00A94F43">
      <w:pPr>
        <w:rPr>
          <w:sz w:val="24"/>
          <w:szCs w:val="24"/>
        </w:rPr>
      </w:pPr>
      <w:r>
        <w:rPr>
          <w:sz w:val="24"/>
          <w:szCs w:val="24"/>
        </w:rPr>
        <w:t xml:space="preserve">You have noted that the </w:t>
      </w:r>
      <w:r w:rsidR="0079216E">
        <w:rPr>
          <w:sz w:val="24"/>
          <w:szCs w:val="24"/>
        </w:rPr>
        <w:t xml:space="preserve">yield on the </w:t>
      </w:r>
      <w:r w:rsidR="00C86BAD">
        <w:rPr>
          <w:sz w:val="24"/>
          <w:szCs w:val="24"/>
        </w:rPr>
        <w:t>short</w:t>
      </w:r>
      <w:r w:rsidR="00E70D86">
        <w:rPr>
          <w:sz w:val="24"/>
          <w:szCs w:val="24"/>
        </w:rPr>
        <w:t>-</w:t>
      </w:r>
      <w:r w:rsidR="00C86BAD">
        <w:rPr>
          <w:sz w:val="24"/>
          <w:szCs w:val="24"/>
        </w:rPr>
        <w:t>term Treasury Bill is 1.50%. You have estimated that the beta for UT’s stock is 1.2</w:t>
      </w:r>
      <w:r w:rsidR="00E70D86">
        <w:rPr>
          <w:sz w:val="24"/>
          <w:szCs w:val="24"/>
        </w:rPr>
        <w:t xml:space="preserve"> and that the anticipated stock market return</w:t>
      </w:r>
      <w:r w:rsidR="00717C43">
        <w:rPr>
          <w:sz w:val="24"/>
          <w:szCs w:val="24"/>
        </w:rPr>
        <w:t xml:space="preserve"> is 11.</w:t>
      </w:r>
      <w:r w:rsidR="007B1C0E">
        <w:rPr>
          <w:sz w:val="24"/>
          <w:szCs w:val="24"/>
        </w:rPr>
        <w:t>25%.</w:t>
      </w:r>
    </w:p>
    <w:p w:rsidR="007B1C0E" w:rsidRDefault="00A84ED3" w:rsidP="00A94F43">
      <w:pPr>
        <w:rPr>
          <w:sz w:val="24"/>
          <w:szCs w:val="24"/>
        </w:rPr>
      </w:pPr>
      <w:r>
        <w:rPr>
          <w:sz w:val="24"/>
          <w:szCs w:val="24"/>
        </w:rPr>
        <w:t xml:space="preserve">In order to estimate </w:t>
      </w:r>
      <w:r w:rsidR="00674106">
        <w:rPr>
          <w:sz w:val="24"/>
          <w:szCs w:val="24"/>
        </w:rPr>
        <w:t>the value of UT’s stock, you have determined that you must calculate the future Free Cash Flows</w:t>
      </w:r>
      <w:r w:rsidR="00BB09CB">
        <w:rPr>
          <w:sz w:val="24"/>
          <w:szCs w:val="24"/>
        </w:rPr>
        <w:t xml:space="preserve"> for UT, estimate UT’s Weighted Average Cost of Capital</w:t>
      </w:r>
      <w:r w:rsidR="00D35E51">
        <w:rPr>
          <w:sz w:val="24"/>
          <w:szCs w:val="24"/>
        </w:rPr>
        <w:t xml:space="preserve"> and then </w:t>
      </w:r>
      <w:r w:rsidR="005D436D">
        <w:rPr>
          <w:sz w:val="24"/>
          <w:szCs w:val="24"/>
        </w:rPr>
        <w:t xml:space="preserve">use the Corporate Valuation Model to compute </w:t>
      </w:r>
      <w:r w:rsidR="00ED3CD0">
        <w:rPr>
          <w:sz w:val="24"/>
          <w:szCs w:val="24"/>
        </w:rPr>
        <w:t xml:space="preserve">the value of UT’s stock. </w:t>
      </w:r>
      <w:r w:rsidR="004266CE">
        <w:rPr>
          <w:sz w:val="24"/>
          <w:szCs w:val="24"/>
        </w:rPr>
        <w:t>Based upon your findings, Bill has requested that you recommend whether or not UT should accept BG’s offer.</w:t>
      </w:r>
    </w:p>
    <w:p w:rsidR="00D2663F" w:rsidRDefault="00D2663F">
      <w:pPr>
        <w:rPr>
          <w:sz w:val="24"/>
          <w:szCs w:val="24"/>
        </w:rPr>
      </w:pPr>
      <w:r>
        <w:rPr>
          <w:sz w:val="24"/>
          <w:szCs w:val="24"/>
        </w:rPr>
        <w:br w:type="page"/>
      </w:r>
    </w:p>
    <w:p w:rsidR="00D2663F" w:rsidRDefault="00B84212" w:rsidP="00D2663F">
      <w:pPr>
        <w:jc w:val="center"/>
        <w:rPr>
          <w:sz w:val="24"/>
          <w:szCs w:val="24"/>
        </w:rPr>
      </w:pPr>
      <w:r>
        <w:rPr>
          <w:sz w:val="24"/>
          <w:szCs w:val="24"/>
        </w:rPr>
        <w:lastRenderedPageBreak/>
        <w:t>Appendix “A”</w:t>
      </w:r>
    </w:p>
    <w:tbl>
      <w:tblPr>
        <w:tblW w:w="9960" w:type="dxa"/>
        <w:tblLook w:val="04A0"/>
      </w:tblPr>
      <w:tblGrid>
        <w:gridCol w:w="3391"/>
        <w:gridCol w:w="1221"/>
        <w:gridCol w:w="1088"/>
        <w:gridCol w:w="1065"/>
        <w:gridCol w:w="1065"/>
        <w:gridCol w:w="1065"/>
        <w:gridCol w:w="1065"/>
      </w:tblGrid>
      <w:tr w:rsidR="00D55B8B" w:rsidRPr="00D55B8B" w:rsidTr="00D55B8B">
        <w:trPr>
          <w:trHeight w:val="300"/>
        </w:trPr>
        <w:tc>
          <w:tcPr>
            <w:tcW w:w="9960" w:type="dxa"/>
            <w:gridSpan w:val="7"/>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Universal Technologies, Inc.</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9960" w:type="dxa"/>
            <w:gridSpan w:val="7"/>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Balance Sheet</w:t>
            </w:r>
          </w:p>
        </w:tc>
      </w:tr>
      <w:tr w:rsidR="00D55B8B" w:rsidRPr="00D55B8B" w:rsidTr="00D55B8B">
        <w:trPr>
          <w:trHeight w:val="300"/>
        </w:trPr>
        <w:tc>
          <w:tcPr>
            <w:tcW w:w="9960" w:type="dxa"/>
            <w:gridSpan w:val="7"/>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(In Millions of Dollars)</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2018</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2019</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2020</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2021</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2022</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2023</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Actual</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Est.</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Est.</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Est.</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Est.</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Est.</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Assets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Current Assets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Cash</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550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616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682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719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762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800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Inventory</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1,153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1,291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1,408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1,596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1,676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Accounts Receivable</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775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868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946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1,012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1,073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1,126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Total Current Assets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2,478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2,775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3,035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3,237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3,431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3,603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Long Term Assets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Machinery, Plant &amp; Equipment</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2,225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2,492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2,716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2,906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3,081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3,235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15"/>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Total Assets</w:t>
            </w:r>
          </w:p>
        </w:tc>
        <w:tc>
          <w:tcPr>
            <w:tcW w:w="1221"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4,703 </w:t>
            </w:r>
          </w:p>
        </w:tc>
        <w:tc>
          <w:tcPr>
            <w:tcW w:w="1088"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5,267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5,751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6,143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6,512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6,837 </w:t>
            </w:r>
          </w:p>
        </w:tc>
      </w:tr>
      <w:tr w:rsidR="00D55B8B" w:rsidRPr="00D55B8B" w:rsidTr="00D55B8B">
        <w:trPr>
          <w:trHeight w:val="315"/>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Liabilities &amp; Owner's Equity</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Current Liabilities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Accounts Receivable</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225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252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275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294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312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327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Accruals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110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123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135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144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153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160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Line of Credit</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904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1,169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1,336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1,302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1,190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Total Current Liabilities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1,239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1,544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1,720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1,774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1,766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1,677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Long-term Bonds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1,200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Owner's Equity</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Preferred Stock</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Common Stock</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Retained Earnings</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264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523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831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1,169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1,546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1,960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Total Owner's Equity</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2,264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2,523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2,831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3,169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3,546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3,960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15"/>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Total Liabilities &amp; Owner's Equity</w:t>
            </w:r>
          </w:p>
        </w:tc>
        <w:tc>
          <w:tcPr>
            <w:tcW w:w="1221"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4,703 </w:t>
            </w:r>
          </w:p>
        </w:tc>
        <w:tc>
          <w:tcPr>
            <w:tcW w:w="1088"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5,267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5,751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6,143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6,512 </w:t>
            </w:r>
          </w:p>
        </w:tc>
        <w:tc>
          <w:tcPr>
            <w:tcW w:w="1065" w:type="dxa"/>
            <w:tcBorders>
              <w:top w:val="single" w:sz="4" w:space="0" w:color="auto"/>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6,837 </w:t>
            </w:r>
          </w:p>
        </w:tc>
      </w:tr>
      <w:tr w:rsidR="00D55B8B" w:rsidRPr="00D55B8B" w:rsidTr="00D55B8B">
        <w:trPr>
          <w:trHeight w:val="315"/>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bl>
    <w:p w:rsidR="00235E3E" w:rsidRDefault="00235E3E">
      <w:r>
        <w:br w:type="page"/>
      </w:r>
    </w:p>
    <w:tbl>
      <w:tblPr>
        <w:tblW w:w="9960" w:type="dxa"/>
        <w:tblLook w:val="04A0"/>
      </w:tblPr>
      <w:tblGrid>
        <w:gridCol w:w="3391"/>
        <w:gridCol w:w="1221"/>
        <w:gridCol w:w="1088"/>
        <w:gridCol w:w="1065"/>
        <w:gridCol w:w="1065"/>
        <w:gridCol w:w="1065"/>
        <w:gridCol w:w="1065"/>
      </w:tblGrid>
      <w:tr w:rsidR="00D55B8B" w:rsidRPr="00D55B8B" w:rsidTr="00D55B8B">
        <w:trPr>
          <w:trHeight w:val="300"/>
        </w:trPr>
        <w:tc>
          <w:tcPr>
            <w:tcW w:w="9960" w:type="dxa"/>
            <w:gridSpan w:val="7"/>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lastRenderedPageBreak/>
              <w:t>Statement of Income &amp; Expenses</w:t>
            </w:r>
          </w:p>
        </w:tc>
      </w:tr>
      <w:tr w:rsidR="00D55B8B" w:rsidRPr="00D55B8B" w:rsidTr="00D55B8B">
        <w:trPr>
          <w:trHeight w:val="300"/>
        </w:trPr>
        <w:tc>
          <w:tcPr>
            <w:tcW w:w="9960" w:type="dxa"/>
            <w:gridSpan w:val="7"/>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r w:rsidRPr="00D55B8B">
              <w:rPr>
                <w:rFonts w:ascii="Calibri" w:eastAsia="Times New Roman" w:hAnsi="Calibri" w:cs="Calibri"/>
                <w:color w:val="000000"/>
                <w:sz w:val="16"/>
                <w:szCs w:val="16"/>
              </w:rPr>
              <w:t>(In Millions of Dollars)</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jc w:val="center"/>
              <w:rPr>
                <w:rFonts w:ascii="Calibri" w:eastAsia="Times New Roman" w:hAnsi="Calibri" w:cs="Calibri"/>
                <w:color w:val="000000"/>
                <w:sz w:val="16"/>
                <w:szCs w:val="16"/>
              </w:rPr>
            </w:pP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Times New Roman" w:eastAsia="Times New Roman" w:hAnsi="Times New Roman" w:cs="Times New Roman"/>
                <w:sz w:val="16"/>
                <w:szCs w:val="16"/>
              </w:rPr>
            </w:pP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Sales</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4,612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5,165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5,630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6,024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6,386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6,705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Costs of Goods Sold</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3,321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3,874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4,223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4,518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4,789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5,029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Gross Profit</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1,291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1,291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1,408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1,506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1,596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1,676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Fixed Overhead</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526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547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569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592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615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640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EBITDA</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765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744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839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914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981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1,036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Depreciation</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247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277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302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323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342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359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EBIT</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518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467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537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592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639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677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Interest Expense</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95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140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137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125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EBT</w:t>
            </w:r>
          </w:p>
        </w:tc>
        <w:tc>
          <w:tcPr>
            <w:tcW w:w="122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423 </w:t>
            </w:r>
          </w:p>
        </w:tc>
        <w:tc>
          <w:tcPr>
            <w:tcW w:w="1088"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345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411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451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502 </w:t>
            </w:r>
          </w:p>
        </w:tc>
        <w:tc>
          <w:tcPr>
            <w:tcW w:w="1065"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552 </w:t>
            </w:r>
          </w:p>
        </w:tc>
      </w:tr>
      <w:tr w:rsidR="00D55B8B" w:rsidRPr="00D55B8B" w:rsidTr="00D55B8B">
        <w:trPr>
          <w:trHeight w:val="300"/>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Taxes (25%)</w:t>
            </w:r>
          </w:p>
        </w:tc>
        <w:tc>
          <w:tcPr>
            <w:tcW w:w="1221"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106 </w:t>
            </w:r>
          </w:p>
        </w:tc>
        <w:tc>
          <w:tcPr>
            <w:tcW w:w="1088"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86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103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113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126 </w:t>
            </w:r>
          </w:p>
        </w:tc>
        <w:tc>
          <w:tcPr>
            <w:tcW w:w="1065" w:type="dxa"/>
            <w:tcBorders>
              <w:top w:val="nil"/>
              <w:left w:val="nil"/>
              <w:bottom w:val="single" w:sz="4"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138 </w:t>
            </w:r>
          </w:p>
        </w:tc>
      </w:tr>
      <w:tr w:rsidR="00D55B8B" w:rsidRPr="00D55B8B" w:rsidTr="00D55B8B">
        <w:trPr>
          <w:trHeight w:val="315"/>
        </w:trPr>
        <w:tc>
          <w:tcPr>
            <w:tcW w:w="3391" w:type="dxa"/>
            <w:tcBorders>
              <w:top w:val="nil"/>
              <w:left w:val="nil"/>
              <w:bottom w:val="nil"/>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Net Income</w:t>
            </w:r>
          </w:p>
        </w:tc>
        <w:tc>
          <w:tcPr>
            <w:tcW w:w="1221"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317 </w:t>
            </w:r>
          </w:p>
        </w:tc>
        <w:tc>
          <w:tcPr>
            <w:tcW w:w="1088"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259 </w:t>
            </w:r>
          </w:p>
        </w:tc>
        <w:tc>
          <w:tcPr>
            <w:tcW w:w="1065"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308 </w:t>
            </w:r>
          </w:p>
        </w:tc>
        <w:tc>
          <w:tcPr>
            <w:tcW w:w="1065"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338 </w:t>
            </w:r>
          </w:p>
        </w:tc>
        <w:tc>
          <w:tcPr>
            <w:tcW w:w="1065"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377 </w:t>
            </w:r>
          </w:p>
        </w:tc>
        <w:tc>
          <w:tcPr>
            <w:tcW w:w="1065" w:type="dxa"/>
            <w:tcBorders>
              <w:top w:val="nil"/>
              <w:left w:val="nil"/>
              <w:bottom w:val="double" w:sz="6" w:space="0" w:color="auto"/>
              <w:right w:val="nil"/>
            </w:tcBorders>
            <w:shd w:val="clear" w:color="auto" w:fill="auto"/>
            <w:noWrap/>
            <w:vAlign w:val="bottom"/>
            <w:hideMark/>
          </w:tcPr>
          <w:p w:rsidR="00D55B8B" w:rsidRPr="00D55B8B" w:rsidRDefault="00D55B8B" w:rsidP="00D55B8B">
            <w:pPr>
              <w:spacing w:after="0" w:line="240" w:lineRule="auto"/>
              <w:rPr>
                <w:rFonts w:ascii="Calibri" w:eastAsia="Times New Roman" w:hAnsi="Calibri" w:cs="Calibri"/>
                <w:color w:val="000000"/>
                <w:sz w:val="16"/>
                <w:szCs w:val="16"/>
              </w:rPr>
            </w:pPr>
            <w:r w:rsidRPr="00D55B8B">
              <w:rPr>
                <w:rFonts w:ascii="Calibri" w:eastAsia="Times New Roman" w:hAnsi="Calibri" w:cs="Calibri"/>
                <w:color w:val="000000"/>
                <w:sz w:val="16"/>
                <w:szCs w:val="16"/>
              </w:rPr>
              <w:t xml:space="preserve"> $         414 </w:t>
            </w:r>
          </w:p>
        </w:tc>
      </w:tr>
    </w:tbl>
    <w:p w:rsidR="00B84212" w:rsidRPr="00976F45" w:rsidRDefault="00B84212" w:rsidP="00B84212">
      <w:pPr>
        <w:rPr>
          <w:sz w:val="24"/>
          <w:szCs w:val="24"/>
        </w:rPr>
      </w:pPr>
    </w:p>
    <w:sectPr w:rsidR="00B84212" w:rsidRPr="00976F45" w:rsidSect="00DF4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76F45"/>
    <w:rsid w:val="00000F9F"/>
    <w:rsid w:val="00091FD3"/>
    <w:rsid w:val="001204A8"/>
    <w:rsid w:val="001B7622"/>
    <w:rsid w:val="001C2D5D"/>
    <w:rsid w:val="001D5BF4"/>
    <w:rsid w:val="00235E3E"/>
    <w:rsid w:val="00382CE3"/>
    <w:rsid w:val="00402A20"/>
    <w:rsid w:val="00404523"/>
    <w:rsid w:val="004266CE"/>
    <w:rsid w:val="004E5C89"/>
    <w:rsid w:val="00552687"/>
    <w:rsid w:val="005C3790"/>
    <w:rsid w:val="005D436D"/>
    <w:rsid w:val="00674106"/>
    <w:rsid w:val="006C19B5"/>
    <w:rsid w:val="00717C43"/>
    <w:rsid w:val="0079216E"/>
    <w:rsid w:val="007B1C0E"/>
    <w:rsid w:val="00846FEF"/>
    <w:rsid w:val="00976F45"/>
    <w:rsid w:val="00A533BC"/>
    <w:rsid w:val="00A65DCD"/>
    <w:rsid w:val="00A84ED3"/>
    <w:rsid w:val="00A94F43"/>
    <w:rsid w:val="00AC5AF9"/>
    <w:rsid w:val="00B84212"/>
    <w:rsid w:val="00BA72F1"/>
    <w:rsid w:val="00BB09CB"/>
    <w:rsid w:val="00C0443D"/>
    <w:rsid w:val="00C140FD"/>
    <w:rsid w:val="00C4088B"/>
    <w:rsid w:val="00C86BAD"/>
    <w:rsid w:val="00CF18ED"/>
    <w:rsid w:val="00CF573E"/>
    <w:rsid w:val="00D058CD"/>
    <w:rsid w:val="00D2663F"/>
    <w:rsid w:val="00D35E51"/>
    <w:rsid w:val="00D55B8B"/>
    <w:rsid w:val="00DF4260"/>
    <w:rsid w:val="00E3508E"/>
    <w:rsid w:val="00E70D86"/>
    <w:rsid w:val="00EA7184"/>
    <w:rsid w:val="00ED3C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F4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A6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41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8AA5213CE9B41BE332DF30F18D889" ma:contentTypeVersion="15" ma:contentTypeDescription="Create a new document." ma:contentTypeScope="" ma:versionID="4c52cbbd87776e13c40c97a06da45efd">
  <xsd:schema xmlns:xsd="http://www.w3.org/2001/XMLSchema" xmlns:xs="http://www.w3.org/2001/XMLSchema" xmlns:p="http://schemas.microsoft.com/office/2006/metadata/properties" xmlns:ns1="http://schemas.microsoft.com/sharepoint/v3" xmlns:ns3="9613dbb6-fdd9-49cb-8b6b-cc18d0d37bd9" xmlns:ns4="bab6b4a4-5f98-4e20-80cd-6cb664dc1f89" targetNamespace="http://schemas.microsoft.com/office/2006/metadata/properties" ma:root="true" ma:fieldsID="384ced7a97b94c186309bb1e5056212e" ns1:_="" ns3:_="" ns4:_="">
    <xsd:import namespace="http://schemas.microsoft.com/sharepoint/v3"/>
    <xsd:import namespace="9613dbb6-fdd9-49cb-8b6b-cc18d0d37bd9"/>
    <xsd:import namespace="bab6b4a4-5f98-4e20-80cd-6cb664dc1f89"/>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3dbb6-fdd9-49cb-8b6b-cc18d0d37b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6b4a4-5f98-4e20-80cd-6cb664dc1f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76D53-7B57-4462-BFBF-14E391BB98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C940AA-ED14-4CC4-AAF0-5DA265AFD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13dbb6-fdd9-49cb-8b6b-cc18d0d37bd9"/>
    <ds:schemaRef ds:uri="bab6b4a4-5f98-4e20-80cd-6cb664dc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6B920-CFEE-4BFC-A47C-560D7B1E5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David Slates</dc:creator>
  <cp:lastModifiedBy>klish</cp:lastModifiedBy>
  <cp:revision>2</cp:revision>
  <dcterms:created xsi:type="dcterms:W3CDTF">2020-02-20T19:03:00Z</dcterms:created>
  <dcterms:modified xsi:type="dcterms:W3CDTF">2020-02-20T19:03:00Z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0x010100E5F8AA5213CE9B41BE332DF30F18D889</vt:lpwstr>
  </property>
</Properties>
</file>