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CBA" w:rsidRPr="00AF3CBA" w:rsidRDefault="00AF3CBA" w:rsidP="00AF3CBA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r w:rsidRPr="00AF3CBA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Module 1 - Backgroun</w:t>
      </w:r>
      <w:bookmarkStart w:id="0" w:name="_GoBack"/>
      <w:bookmarkEnd w:id="0"/>
      <w:r w:rsidRPr="00AF3CBA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d</w:t>
      </w:r>
    </w:p>
    <w:p w:rsidR="00AF3CBA" w:rsidRPr="00AF3CBA" w:rsidRDefault="00AF3CBA" w:rsidP="00AF3CBA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pacing w:before="100" w:beforeAutospacing="1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</w:pPr>
      <w:r w:rsidRPr="00AF3CBA"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  <w:t>UNDERSTANDING THE ROLE OF PUBLIC HEALTH PROFESSIONALS IN EMERGENCY PREPAREDNESS AND RESPONSE</w:t>
      </w:r>
    </w:p>
    <w:p w:rsidR="00AF3CBA" w:rsidRPr="00AF3CBA" w:rsidRDefault="00AF3CBA" w:rsidP="00AF3CBA">
      <w:pPr>
        <w:shd w:val="clear" w:color="auto" w:fill="C4D5DD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F3CBA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color w:val="363636"/>
        </w:rPr>
        <w:t>Association of Public Health Nurses. (2014).</w:t>
      </w:r>
      <w:r w:rsidRPr="00AF3CBA">
        <w:rPr>
          <w:rFonts w:ascii="Arial" w:eastAsia="Times New Roman" w:hAnsi="Arial" w:cs="Arial"/>
          <w:i/>
          <w:iCs/>
          <w:color w:val="363636"/>
        </w:rPr>
        <w:t> The role of the public health nurse in disaster preparedness, response, and recovery: A position statement.</w:t>
      </w:r>
      <w:r w:rsidRPr="00AF3CBA">
        <w:rPr>
          <w:rFonts w:ascii="Arial" w:eastAsia="Times New Roman" w:hAnsi="Arial" w:cs="Arial"/>
          <w:color w:val="363636"/>
        </w:rPr>
        <w:t> Retrieved from </w:t>
      </w:r>
      <w:r w:rsidRPr="00AF3CBA">
        <w:rPr>
          <w:rFonts w:ascii="Arial" w:eastAsia="Times New Roman" w:hAnsi="Arial" w:cs="Arial"/>
          <w:color w:val="363636"/>
        </w:rPr>
        <w:br/>
      </w:r>
      <w:hyperlink r:id="rId4" w:tgtFrame="_blank" w:history="1">
        <w:r w:rsidRPr="00AF3CBA">
          <w:rPr>
            <w:rFonts w:ascii="Arial" w:eastAsia="Times New Roman" w:hAnsi="Arial" w:cs="Arial"/>
            <w:i/>
            <w:iCs/>
            <w:color w:val="CC3300"/>
            <w:u w:val="single"/>
          </w:rPr>
          <w:t>https://www.naccho.org/uploads/blog/nacchopreparedness/APHN_Role-of-PHN-in-Disaster-PRR_FINALJan14.pdf</w:t>
        </w:r>
      </w:hyperlink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proofErr w:type="spellStart"/>
      <w:r w:rsidRPr="00AF3CBA">
        <w:rPr>
          <w:rFonts w:ascii="Arial" w:eastAsia="Times New Roman" w:hAnsi="Arial" w:cs="Arial"/>
          <w:color w:val="363636"/>
        </w:rPr>
        <w:t>Beinecke</w:t>
      </w:r>
      <w:proofErr w:type="spellEnd"/>
      <w:r w:rsidRPr="00AF3CBA">
        <w:rPr>
          <w:rFonts w:ascii="Arial" w:eastAsia="Times New Roman" w:hAnsi="Arial" w:cs="Arial"/>
          <w:color w:val="363636"/>
        </w:rPr>
        <w:t>, R. H. (2017). Addressing the mental health needs of victims and responders to the Boston Marathon bombings. </w:t>
      </w:r>
      <w:r w:rsidRPr="00AF3CBA">
        <w:rPr>
          <w:rFonts w:ascii="Arial" w:eastAsia="Times New Roman" w:hAnsi="Arial" w:cs="Arial"/>
          <w:i/>
          <w:iCs/>
          <w:color w:val="363636"/>
        </w:rPr>
        <w:t>International Journal of Mental Health. 43</w:t>
      </w:r>
      <w:r w:rsidRPr="00AF3CBA">
        <w:rPr>
          <w:rFonts w:ascii="Arial" w:eastAsia="Times New Roman" w:hAnsi="Arial" w:cs="Arial"/>
          <w:color w:val="363636"/>
        </w:rPr>
        <w:t>(2)17-34. Available at Trident Online Library.</w:t>
      </w:r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color w:val="363636"/>
        </w:rPr>
        <w:t>CDC. (2018). </w:t>
      </w:r>
      <w:r w:rsidRPr="00AF3CBA">
        <w:rPr>
          <w:rFonts w:ascii="Arial" w:eastAsia="Times New Roman" w:hAnsi="Arial" w:cs="Arial"/>
          <w:i/>
          <w:iCs/>
          <w:color w:val="363636"/>
        </w:rPr>
        <w:t>Environmental health services: Emergency and terrorism preparedness for Environmental Health Practitioners.</w:t>
      </w:r>
      <w:r w:rsidRPr="00AF3CBA">
        <w:rPr>
          <w:rFonts w:ascii="Arial" w:eastAsia="Times New Roman" w:hAnsi="Arial" w:cs="Arial"/>
          <w:color w:val="363636"/>
        </w:rPr>
        <w:t> Retrieved from </w:t>
      </w:r>
      <w:hyperlink r:id="rId5" w:tgtFrame="_blank" w:history="1">
        <w:r w:rsidRPr="00AF3CBA">
          <w:rPr>
            <w:rFonts w:ascii="Arial" w:eastAsia="Times New Roman" w:hAnsi="Arial" w:cs="Arial"/>
            <w:i/>
            <w:iCs/>
            <w:color w:val="CC3300"/>
            <w:u w:val="single"/>
          </w:rPr>
          <w:t>https://www.cdc.gov/nceh/ehs/etp/default.htm</w:t>
        </w:r>
      </w:hyperlink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color w:val="363636"/>
        </w:rPr>
        <w:t>DHHS (2015) Cultural and linguistic competency in disaster preparedness and response fact sheet. Retrieved from </w:t>
      </w:r>
      <w:hyperlink r:id="rId6" w:tgtFrame="_blank" w:history="1">
        <w:r w:rsidRPr="00AF3CBA">
          <w:rPr>
            <w:rFonts w:ascii="Arial" w:eastAsia="Times New Roman" w:hAnsi="Arial" w:cs="Arial"/>
            <w:i/>
            <w:iCs/>
            <w:color w:val="CC3300"/>
            <w:u w:val="single"/>
          </w:rPr>
          <w:t>https://www.phe.gov/Preparedness/planning/abc/Pages/linguistic-facts.aspx</w:t>
        </w:r>
      </w:hyperlink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proofErr w:type="spellStart"/>
      <w:r w:rsidRPr="00AF3CBA">
        <w:rPr>
          <w:rFonts w:ascii="Arial" w:eastAsia="Times New Roman" w:hAnsi="Arial" w:cs="Arial"/>
          <w:color w:val="363636"/>
        </w:rPr>
        <w:t>Malilay</w:t>
      </w:r>
      <w:proofErr w:type="spellEnd"/>
      <w:r w:rsidRPr="00AF3CBA">
        <w:rPr>
          <w:rFonts w:ascii="Arial" w:eastAsia="Times New Roman" w:hAnsi="Arial" w:cs="Arial"/>
          <w:color w:val="363636"/>
        </w:rPr>
        <w:t xml:space="preserve">, J., </w:t>
      </w:r>
      <w:proofErr w:type="spellStart"/>
      <w:r w:rsidRPr="00AF3CBA">
        <w:rPr>
          <w:rFonts w:ascii="Arial" w:eastAsia="Times New Roman" w:hAnsi="Arial" w:cs="Arial"/>
          <w:color w:val="363636"/>
        </w:rPr>
        <w:t>Heumann</w:t>
      </w:r>
      <w:proofErr w:type="spellEnd"/>
      <w:r w:rsidRPr="00AF3CBA">
        <w:rPr>
          <w:rFonts w:ascii="Arial" w:eastAsia="Times New Roman" w:hAnsi="Arial" w:cs="Arial"/>
          <w:color w:val="363636"/>
        </w:rPr>
        <w:t xml:space="preserve">, M., Perrotta, D., </w:t>
      </w:r>
      <w:proofErr w:type="spellStart"/>
      <w:r w:rsidRPr="00AF3CBA">
        <w:rPr>
          <w:rFonts w:ascii="Arial" w:eastAsia="Times New Roman" w:hAnsi="Arial" w:cs="Arial"/>
          <w:color w:val="363636"/>
        </w:rPr>
        <w:t>Wolkin</w:t>
      </w:r>
      <w:proofErr w:type="spellEnd"/>
      <w:r w:rsidRPr="00AF3CBA">
        <w:rPr>
          <w:rFonts w:ascii="Arial" w:eastAsia="Times New Roman" w:hAnsi="Arial" w:cs="Arial"/>
          <w:color w:val="363636"/>
        </w:rPr>
        <w:t xml:space="preserve">, A. F., </w:t>
      </w:r>
      <w:proofErr w:type="spellStart"/>
      <w:r w:rsidRPr="00AF3CBA">
        <w:rPr>
          <w:rFonts w:ascii="Arial" w:eastAsia="Times New Roman" w:hAnsi="Arial" w:cs="Arial"/>
          <w:color w:val="363636"/>
        </w:rPr>
        <w:t>Schnall</w:t>
      </w:r>
      <w:proofErr w:type="spellEnd"/>
      <w:r w:rsidRPr="00AF3CBA">
        <w:rPr>
          <w:rFonts w:ascii="Arial" w:eastAsia="Times New Roman" w:hAnsi="Arial" w:cs="Arial"/>
          <w:color w:val="363636"/>
        </w:rPr>
        <w:t xml:space="preserve">, A.H., </w:t>
      </w:r>
      <w:proofErr w:type="spellStart"/>
      <w:r w:rsidRPr="00AF3CBA">
        <w:rPr>
          <w:rFonts w:ascii="Arial" w:eastAsia="Times New Roman" w:hAnsi="Arial" w:cs="Arial"/>
          <w:color w:val="363636"/>
        </w:rPr>
        <w:t>Podgornik</w:t>
      </w:r>
      <w:proofErr w:type="spellEnd"/>
      <w:r w:rsidRPr="00AF3CBA">
        <w:rPr>
          <w:rFonts w:ascii="Arial" w:eastAsia="Times New Roman" w:hAnsi="Arial" w:cs="Arial"/>
          <w:color w:val="363636"/>
        </w:rPr>
        <w:t>, M. N., . . . &amp; Simms, E. F. (2014). The role of applied epidemiology methods in the disaster management cycle. </w:t>
      </w:r>
      <w:r w:rsidRPr="00AF3CBA">
        <w:rPr>
          <w:rFonts w:ascii="Arial" w:eastAsia="Times New Roman" w:hAnsi="Arial" w:cs="Arial"/>
          <w:i/>
          <w:iCs/>
          <w:color w:val="363636"/>
        </w:rPr>
        <w:t>American Journal of Public Health,104</w:t>
      </w:r>
      <w:r w:rsidRPr="00AF3CBA">
        <w:rPr>
          <w:rFonts w:ascii="Arial" w:eastAsia="Times New Roman" w:hAnsi="Arial" w:cs="Arial"/>
          <w:color w:val="363636"/>
        </w:rPr>
        <w:t>(11) 2092-2102. Available at Trident Online Library.</w:t>
      </w:r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color w:val="363636"/>
        </w:rPr>
        <w:t xml:space="preserve">Murray, V., </w:t>
      </w:r>
      <w:proofErr w:type="spellStart"/>
      <w:r w:rsidRPr="00AF3CBA">
        <w:rPr>
          <w:rFonts w:ascii="Arial" w:eastAsia="Times New Roman" w:hAnsi="Arial" w:cs="Arial"/>
          <w:color w:val="363636"/>
        </w:rPr>
        <w:t>Aitsi-Selmi</w:t>
      </w:r>
      <w:proofErr w:type="spellEnd"/>
      <w:r w:rsidRPr="00AF3CBA">
        <w:rPr>
          <w:rFonts w:ascii="Arial" w:eastAsia="Times New Roman" w:hAnsi="Arial" w:cs="Arial"/>
          <w:color w:val="363636"/>
        </w:rPr>
        <w:t>, A., &amp; Blanchard, K. (2015). The role of public health within the United Nations post-2015 Framework for Disaster Risk Reduction. </w:t>
      </w:r>
      <w:r w:rsidRPr="00AF3CBA">
        <w:rPr>
          <w:rFonts w:ascii="Arial" w:eastAsia="Times New Roman" w:hAnsi="Arial" w:cs="Arial"/>
          <w:i/>
          <w:iCs/>
          <w:color w:val="363636"/>
        </w:rPr>
        <w:t>International Journal of Disaster Risk Science, 6</w:t>
      </w:r>
      <w:r w:rsidRPr="00AF3CBA">
        <w:rPr>
          <w:rFonts w:ascii="Arial" w:eastAsia="Times New Roman" w:hAnsi="Arial" w:cs="Arial"/>
          <w:color w:val="363636"/>
        </w:rPr>
        <w:t>(1) 28–37. Available at Trident Online Library.</w:t>
      </w:r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color w:val="363636"/>
        </w:rPr>
        <w:t xml:space="preserve">Murray, V. et al. (2015). The role of public health within the United Nations post-2015 framework for disaster risk </w:t>
      </w:r>
      <w:r w:rsidRPr="00AF3CBA">
        <w:rPr>
          <w:rFonts w:ascii="Arial" w:eastAsia="Times New Roman" w:hAnsi="Arial" w:cs="Arial"/>
          <w:color w:val="363636"/>
        </w:rPr>
        <w:lastRenderedPageBreak/>
        <w:t>reduction. </w:t>
      </w:r>
      <w:r w:rsidRPr="00AF3CBA">
        <w:rPr>
          <w:rFonts w:ascii="Arial" w:eastAsia="Times New Roman" w:hAnsi="Arial" w:cs="Arial"/>
          <w:i/>
          <w:iCs/>
          <w:color w:val="363636"/>
        </w:rPr>
        <w:t>International Journal of Disaster Risk Science (6)</w:t>
      </w:r>
      <w:r w:rsidRPr="00AF3CBA">
        <w:rPr>
          <w:rFonts w:ascii="Arial" w:eastAsia="Times New Roman" w:hAnsi="Arial" w:cs="Arial"/>
          <w:color w:val="363636"/>
        </w:rPr>
        <w:t>1. Available at Trident Online Library.</w:t>
      </w:r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i/>
          <w:iCs/>
          <w:color w:val="363636"/>
        </w:rPr>
        <w:t>Public health emergency response guide for state, local, and tribal public health directors</w:t>
      </w:r>
      <w:r w:rsidRPr="00AF3CBA">
        <w:rPr>
          <w:rFonts w:ascii="Arial" w:eastAsia="Times New Roman" w:hAnsi="Arial" w:cs="Arial"/>
          <w:color w:val="363636"/>
        </w:rPr>
        <w:t>, V2.0 (2011), CDC.gov. Retrieved from </w:t>
      </w:r>
      <w:hyperlink r:id="rId7" w:tgtFrame="_blank" w:history="1">
        <w:r w:rsidRPr="00AF3CBA">
          <w:rPr>
            <w:rFonts w:ascii="Arial" w:eastAsia="Times New Roman" w:hAnsi="Arial" w:cs="Arial"/>
            <w:i/>
            <w:iCs/>
            <w:color w:val="CC3300"/>
            <w:u w:val="single"/>
          </w:rPr>
          <w:t>https://emergency.cdc.gov/planning/responseguide.asp</w:t>
        </w:r>
      </w:hyperlink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color w:val="363636"/>
        </w:rPr>
        <w:t>The national CLAS standards (2018). HHS.gov. Retrieved from </w:t>
      </w:r>
      <w:hyperlink r:id="rId8" w:tgtFrame="_blank" w:history="1">
        <w:r w:rsidRPr="00AF3CBA">
          <w:rPr>
            <w:rFonts w:ascii="Arial" w:eastAsia="Times New Roman" w:hAnsi="Arial" w:cs="Arial"/>
            <w:i/>
            <w:iCs/>
            <w:color w:val="CC3300"/>
            <w:u w:val="single"/>
          </w:rPr>
          <w:t>https://minorityhealth.hhs.gov/omh/browse.aspx?lvl=2&amp;lvlid=53</w:t>
        </w:r>
      </w:hyperlink>
    </w:p>
    <w:p w:rsidR="00AF3CBA" w:rsidRPr="00AF3CBA" w:rsidRDefault="00AF3CBA" w:rsidP="00AF3CBA">
      <w:pPr>
        <w:shd w:val="clear" w:color="auto" w:fill="C4D5DD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F3CBA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Websites</w:t>
      </w:r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i/>
          <w:iCs/>
          <w:color w:val="363636"/>
        </w:rPr>
        <w:t>Coronavirus Disease 2019</w:t>
      </w:r>
      <w:r w:rsidRPr="00AF3CBA">
        <w:rPr>
          <w:rFonts w:ascii="Arial" w:eastAsia="Times New Roman" w:hAnsi="Arial" w:cs="Arial"/>
          <w:color w:val="363636"/>
        </w:rPr>
        <w:t> (COVID-19). </w:t>
      </w:r>
      <w:hyperlink r:id="rId9" w:tgtFrame="_blank" w:history="1">
        <w:r w:rsidRPr="00AF3CBA">
          <w:rPr>
            <w:rFonts w:ascii="Arial" w:eastAsia="Times New Roman" w:hAnsi="Arial" w:cs="Arial"/>
            <w:i/>
            <w:iCs/>
            <w:color w:val="CC3300"/>
            <w:u w:val="single"/>
          </w:rPr>
          <w:t>https://www.cdc.gov/coronavirus/2019-ncov/cases-updates/summary.html</w:t>
        </w:r>
      </w:hyperlink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i/>
          <w:iCs/>
          <w:color w:val="363636"/>
        </w:rPr>
        <w:t>Medical Reserve Corps. Public Health Emergency</w:t>
      </w:r>
      <w:r w:rsidRPr="00AF3CBA">
        <w:rPr>
          <w:rFonts w:ascii="Arial" w:eastAsia="Times New Roman" w:hAnsi="Arial" w:cs="Arial"/>
          <w:color w:val="363636"/>
        </w:rPr>
        <w:t>. </w:t>
      </w:r>
      <w:hyperlink r:id="rId10" w:tgtFrame="_blank" w:history="1">
        <w:r w:rsidRPr="00AF3CBA">
          <w:rPr>
            <w:rFonts w:ascii="Arial" w:eastAsia="Times New Roman" w:hAnsi="Arial" w:cs="Arial"/>
            <w:i/>
            <w:iCs/>
            <w:color w:val="CC3300"/>
            <w:u w:val="single"/>
          </w:rPr>
          <w:t>https://www.phe.gov/about/oem/prep/Pages/mrc.aspx</w:t>
        </w:r>
      </w:hyperlink>
    </w:p>
    <w:p w:rsidR="00AF3CBA" w:rsidRPr="00AF3CBA" w:rsidRDefault="00AF3CBA" w:rsidP="00AF3CBA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AF3CBA">
        <w:rPr>
          <w:rFonts w:ascii="Arial" w:eastAsia="Times New Roman" w:hAnsi="Arial" w:cs="Arial"/>
          <w:color w:val="363636"/>
        </w:rPr>
        <w:t>Think Cultural Health. </w:t>
      </w:r>
      <w:hyperlink r:id="rId11" w:tgtFrame="_blank" w:history="1">
        <w:r w:rsidRPr="00AF3CBA">
          <w:rPr>
            <w:rFonts w:ascii="Arial" w:eastAsia="Times New Roman" w:hAnsi="Arial" w:cs="Arial"/>
            <w:i/>
            <w:iCs/>
            <w:color w:val="CC3300"/>
            <w:u w:val="single"/>
          </w:rPr>
          <w:t>https://thinkculturalhealth.hhs.gov/clas/clas-tracking-map</w:t>
        </w:r>
      </w:hyperlink>
    </w:p>
    <w:p w:rsidR="009117A7" w:rsidRDefault="00AF3CBA"/>
    <w:sectPr w:rsidR="009117A7" w:rsidSect="00E1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BA"/>
    <w:rsid w:val="004B3698"/>
    <w:rsid w:val="00AF3CBA"/>
    <w:rsid w:val="00E16746"/>
    <w:rsid w:val="00E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3E5FD56-F97E-3D4F-B1F5-51145262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69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AF3CB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3CB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4B3698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F3C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3C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F3CBA"/>
    <w:pPr>
      <w:spacing w:before="100" w:beforeAutospacing="1" w:after="100" w:afterAutospacing="1"/>
    </w:pPr>
    <w:rPr>
      <w:rFonts w:eastAsia="Times New Roman" w:cs="Times New Roman"/>
    </w:rPr>
  </w:style>
  <w:style w:type="character" w:styleId="Emphasis">
    <w:name w:val="Emphasis"/>
    <w:basedOn w:val="DefaultParagraphFont"/>
    <w:uiPriority w:val="20"/>
    <w:qFormat/>
    <w:rsid w:val="00AF3C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F3C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F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rityhealth.hhs.gov/omh/browse.aspx?lvl=2&amp;lvlid=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mergency.cdc.gov/planning/responseguide.a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e.gov/Preparedness/planning/abc/Pages/linguistic-facts.aspx" TargetMode="External"/><Relationship Id="rId11" Type="http://schemas.openxmlformats.org/officeDocument/2006/relationships/hyperlink" Target="https://thinkculturalhealth.hhs.gov/clas/clas-tracking-map" TargetMode="External"/><Relationship Id="rId5" Type="http://schemas.openxmlformats.org/officeDocument/2006/relationships/hyperlink" Target="https://www.cdc.gov/nceh/ehs/etp/default.htm" TargetMode="External"/><Relationship Id="rId10" Type="http://schemas.openxmlformats.org/officeDocument/2006/relationships/hyperlink" Target="https://www.phe.gov/about/oem/prep/Pages/mrc.aspx" TargetMode="External"/><Relationship Id="rId4" Type="http://schemas.openxmlformats.org/officeDocument/2006/relationships/hyperlink" Target="https://www.naccho.org/uploads/blog/nacchopreparedness/APHN_Role-of-PHN-in-Disaster-PRR_FINALJan14.pdf" TargetMode="External"/><Relationship Id="rId9" Type="http://schemas.openxmlformats.org/officeDocument/2006/relationships/hyperlink" Target="https://www.cdc.gov/coronavirus/2019-ncov/cases-updates/summ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Pinero</dc:creator>
  <cp:keywords/>
  <dc:description/>
  <cp:lastModifiedBy>Pedro Pinero</cp:lastModifiedBy>
  <cp:revision>1</cp:revision>
  <dcterms:created xsi:type="dcterms:W3CDTF">2021-02-11T04:08:00Z</dcterms:created>
  <dcterms:modified xsi:type="dcterms:W3CDTF">2021-02-11T04:08:00Z</dcterms:modified>
</cp:coreProperties>
</file>